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6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auto"/>
              </w:rPr>
              <w:t>SEC Form 3</w:t>
            </w:r>
          </w:p>
        </w:tc>
        <w:tc>
          <w:tcPr>
            <w:tcW w:w="6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160" w:type="dxa"/>
            <w:vAlign w:val="bottom"/>
          </w:tcPr>
          <w:p>
            <w:pPr>
              <w:ind w:left="760"/>
              <w:spacing w:after="0" w:line="2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b w:val="1"/>
                <w:bCs w:val="1"/>
                <w:color w:val="auto"/>
              </w:rPr>
              <w:t>FORM 3</w:t>
            </w:r>
          </w:p>
        </w:tc>
        <w:tc>
          <w:tcPr>
            <w:tcW w:w="6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700" w:type="dxa"/>
            <w:vAlign w:val="bottom"/>
            <w:vMerge w:val="restart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INITIAL STATEMENT OF BENEFICIAL OWNERSHIP OF SECURITIES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OMB Number: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3235-0104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Estimated average burden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hours per response: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7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7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6930390</wp:posOffset>
            </wp:positionH>
            <wp:positionV relativeFrom="paragraph">
              <wp:posOffset>-505460</wp:posOffset>
            </wp:positionV>
            <wp:extent cx="51435" cy="51879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" cy="518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5614670</wp:posOffset>
            </wp:positionH>
            <wp:positionV relativeFrom="paragraph">
              <wp:posOffset>-505460</wp:posOffset>
            </wp:positionV>
            <wp:extent cx="51435" cy="51879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" cy="518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-10160</wp:posOffset>
            </wp:positionH>
            <wp:positionV relativeFrom="paragraph">
              <wp:posOffset>19685</wp:posOffset>
            </wp:positionV>
            <wp:extent cx="7019290" cy="27298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19290" cy="27298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20"/>
          </w:cols>
          <w:pgMar w:left="440" w:top="202" w:right="439" w:bottom="1440" w:gutter="0" w:footer="0" w:header="0"/>
        </w:sectPr>
      </w:pPr>
    </w:p>
    <w:p>
      <w:pPr>
        <w:spacing w:after="0" w:line="42" w:lineRule="exact"/>
        <w:rPr>
          <w:sz w:val="24"/>
          <w:szCs w:val="24"/>
          <w:color w:val="auto"/>
        </w:rPr>
      </w:pPr>
    </w:p>
    <w:tbl>
      <w:tblPr>
        <w:tblLayout w:type="fixed"/>
        <w:tblInd w:w="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17"/>
                <w:szCs w:val="17"/>
                <w:color w:val="auto"/>
                <w:vertAlign w:val="superscript"/>
              </w:rPr>
              <w:t>*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2. Date of Event Requiring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  <w:vMerge w:val="restart"/>
          </w:tcPr>
          <w:p>
            <w:pPr>
              <w:spacing w:after="0" w:line="187" w:lineRule="exact"/>
              <w:rPr>
                <w:rFonts w:ascii="Times New Roman" w:cs="Times New Roman" w:eastAsia="Times New Roman" w:hAnsi="Times New Roman"/>
                <w:sz w:val="17"/>
                <w:szCs w:val="17"/>
                <w:color w:val="0000EE"/>
                <w:w w:val="96"/>
              </w:rPr>
            </w:pPr>
            <w:hyperlink r:id="rId11">
              <w:r>
                <w:rPr>
                  <w:rFonts w:ascii="Times New Roman" w:cs="Times New Roman" w:eastAsia="Times New Roman" w:hAnsi="Times New Roman"/>
                  <w:sz w:val="17"/>
                  <w:szCs w:val="17"/>
                  <w:color w:val="0000EE"/>
                  <w:w w:val="96"/>
                </w:rPr>
                <w:t>SOISTMAN FRANCIS S JR</w:t>
              </w:r>
            </w:hyperlink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 w:line="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Statement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20" w:type="dxa"/>
            <w:vAlign w:val="bottom"/>
            <w:gridSpan w:val="2"/>
            <w:vMerge w:val="restart"/>
          </w:tcPr>
          <w:p>
            <w:pPr>
              <w:ind w:left="1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05/20/2026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(Last)</w:t>
            </w:r>
          </w:p>
        </w:tc>
        <w:tc>
          <w:tcPr>
            <w:tcW w:w="1380" w:type="dxa"/>
            <w:vAlign w:val="bottom"/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(First)</w:t>
            </w:r>
          </w:p>
        </w:tc>
        <w:tc>
          <w:tcPr>
            <w:tcW w:w="2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(Middle)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3. Issuer Name </w:t>
      </w: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Ticker or Trading Symbol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16"/>
          <w:szCs w:val="16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16"/>
            <w:szCs w:val="16"/>
            <w:u w:val="single" w:color="auto"/>
            <w:color w:val="0000EE"/>
          </w:rPr>
          <w:t>Privia Health Group, Inc.</w:t>
        </w:r>
        <w:r>
          <w:rPr>
            <w:rFonts w:ascii="Times New Roman" w:cs="Times New Roman" w:eastAsia="Times New Roman" w:hAnsi="Times New Roman"/>
            <w:sz w:val="16"/>
            <w:szCs w:val="16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16"/>
          <w:szCs w:val="16"/>
          <w:color w:val="000000"/>
        </w:rPr>
        <w:t>[</w:t>
      </w:r>
      <w:r>
        <w:rPr>
          <w:rFonts w:ascii="Times New Roman" w:cs="Times New Roman" w:eastAsia="Times New Roman" w:hAnsi="Times New Roman"/>
          <w:sz w:val="16"/>
          <w:szCs w:val="16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2"/>
          <w:szCs w:val="12"/>
          <w:color w:val="0000FF"/>
        </w:rPr>
        <w:t>PRVA</w:t>
      </w:r>
      <w:r>
        <w:rPr>
          <w:rFonts w:ascii="Times New Roman" w:cs="Times New Roman" w:eastAsia="Times New Roman" w:hAnsi="Times New Roman"/>
          <w:sz w:val="16"/>
          <w:szCs w:val="16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00"/>
        </w:rPr>
        <w:t>]</w:t>
      </w:r>
    </w:p>
    <w:p>
      <w:pPr>
        <w:spacing w:after="0" w:line="39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660" w:space="340"/>
            <w:col w:w="6020"/>
          </w:cols>
          <w:pgMar w:left="440" w:top="202" w:right="439" w:bottom="1440" w:gutter="0" w:footer="0" w:header="0"/>
          <w:type w:val="continuous"/>
        </w:sectPr>
      </w:pPr>
    </w:p>
    <w:p>
      <w:pPr>
        <w:spacing w:after="0" w:line="83" w:lineRule="exact"/>
        <w:rPr>
          <w:sz w:val="24"/>
          <w:szCs w:val="24"/>
          <w:color w:val="auto"/>
        </w:rPr>
      </w:pPr>
    </w:p>
    <w:tbl>
      <w:tblPr>
        <w:tblLayout w:type="fixed"/>
        <w:tblInd w:w="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4"/>
        </w:trPr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950 N GLEBE RD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07"/>
        </w:trPr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SUITE 700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344"/>
        </w:trPr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(Street)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184"/>
        </w:trPr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ARLINGTON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VA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22203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7" w:right="880" w:firstLine="7"/>
        <w:spacing w:after="0" w:line="260" w:lineRule="auto"/>
        <w:tabs>
          <w:tab w:leader="none" w:pos="108" w:val="left"/>
        </w:tabs>
        <w:numPr>
          <w:ilvl w:val="0"/>
          <w:numId w:val="1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Relationship of Reporting Person(s) to Issuer (Check all applicable)</w:t>
      </w:r>
    </w:p>
    <w:p>
      <w:pPr>
        <w:spacing w:after="0" w:line="21" w:lineRule="exact"/>
        <w:rPr>
          <w:sz w:val="24"/>
          <w:szCs w:val="24"/>
          <w:color w:val="auto"/>
        </w:rPr>
      </w:pPr>
    </w:p>
    <w:tbl>
      <w:tblPr>
        <w:tblLayout w:type="fixed"/>
        <w:tblInd w:w="51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6"/>
        </w:trPr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Director</w:t>
            </w:r>
          </w:p>
        </w:tc>
        <w:tc>
          <w:tcPr>
            <w:tcW w:w="13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Officer (give title</w:t>
            </w:r>
          </w:p>
        </w:tc>
        <w:tc>
          <w:tcPr>
            <w:tcW w:w="138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  <w:w w:val="99"/>
              </w:rPr>
              <w:t>Other (specify 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11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below)</w:t>
            </w: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118" w:hanging="118"/>
        <w:spacing w:after="0"/>
        <w:tabs>
          <w:tab w:leader="none" w:pos="118" w:val="left"/>
        </w:tabs>
        <w:numPr>
          <w:ilvl w:val="0"/>
          <w:numId w:val="2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If Amendment, Date of Original Filed (Month/Day/Year)</w:t>
      </w:r>
    </w:p>
    <w:p>
      <w:pPr>
        <w:spacing w:after="0" w:line="268" w:lineRule="exact"/>
        <w:rPr>
          <w:rFonts w:ascii="Arial" w:cs="Arial" w:eastAsia="Arial" w:hAnsi="Arial"/>
          <w:sz w:val="10"/>
          <w:szCs w:val="10"/>
          <w:color w:val="auto"/>
        </w:rPr>
      </w:pPr>
    </w:p>
    <w:p>
      <w:pPr>
        <w:ind w:left="118" w:hanging="118"/>
        <w:spacing w:after="0"/>
        <w:tabs>
          <w:tab w:leader="none" w:pos="118" w:val="left"/>
        </w:tabs>
        <w:numPr>
          <w:ilvl w:val="0"/>
          <w:numId w:val="2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Individual or Joint/Group Filing (Check Applicable Line)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438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Form filed by One Reporting Person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438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Form filed by More than One Reporting Person</w:t>
      </w:r>
    </w:p>
    <w:p>
      <w:pPr>
        <w:spacing w:after="0" w:line="35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87" w:space="720"/>
            <w:col w:w="3073" w:space="222"/>
            <w:col w:w="2718"/>
          </w:cols>
          <w:pgMar w:left="440" w:top="202" w:right="439" w:bottom="1440" w:gutter="0" w:footer="0" w:header="0"/>
          <w:type w:val="continuous"/>
        </w:sectPr>
      </w:pP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10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0"/>
          <w:szCs w:val="10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0"/>
          <w:szCs w:val="10"/>
          <w:color w:val="auto"/>
        </w:rPr>
        <w:t>(Zip)</w:t>
      </w:r>
    </w:p>
    <w:p>
      <w:pPr>
        <w:spacing w:after="0" w:line="153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Table I - Non-Derivative Securities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1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700" w:type="dxa"/>
            <w:vAlign w:val="bottom"/>
          </w:tcPr>
          <w:p>
            <w:pPr>
              <w:ind w:left="1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2. Amount of Securities Beneficially</w:t>
            </w:r>
          </w:p>
        </w:tc>
        <w:tc>
          <w:tcPr>
            <w:tcW w:w="12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3. Ownership Form:</w:t>
            </w:r>
          </w:p>
        </w:tc>
        <w:tc>
          <w:tcPr>
            <w:tcW w:w="2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4. Nature of Indirect Beneficial Ownership (Instr. 5)</w:t>
            </w: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00" w:type="dxa"/>
            <w:vAlign w:val="bottom"/>
          </w:tcPr>
          <w:p>
            <w:pPr>
              <w:ind w:left="17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Owned (Instr. 4)</w:t>
            </w:r>
          </w:p>
        </w:tc>
        <w:tc>
          <w:tcPr>
            <w:tcW w:w="1260" w:type="dxa"/>
            <w:vAlign w:val="bottom"/>
          </w:tcPr>
          <w:p>
            <w:pPr>
              <w:ind w:left="1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Direct (D) or Indirect</w:t>
            </w:r>
          </w:p>
        </w:tc>
        <w:tc>
          <w:tcPr>
            <w:tcW w:w="2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7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0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Table II - Derivative Securities Beneficially Owned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96" w:lineRule="exact"/>
        <w:rPr>
          <w:sz w:val="24"/>
          <w:szCs w:val="24"/>
          <w:color w:val="auto"/>
        </w:rPr>
      </w:pPr>
    </w:p>
    <w:tbl>
      <w:tblPr>
        <w:tblLayout w:type="fixed"/>
        <w:tblInd w:w="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15"/>
        </w:trPr>
        <w:tc>
          <w:tcPr>
            <w:tcW w:w="3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3. Title and Amount of Securities Underlying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4.</w:t>
            </w: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5. Ownership</w:t>
            </w:r>
          </w:p>
        </w:tc>
        <w:tc>
          <w:tcPr>
            <w:tcW w:w="15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6. Nature of 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3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780" w:type="dxa"/>
            <w:vAlign w:val="bottom"/>
          </w:tcPr>
          <w:p>
            <w:pPr>
              <w:ind w:left="4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Derivative Security (Instr.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580" w:type="dxa"/>
            <w:vAlign w:val="bottom"/>
          </w:tcPr>
          <w:p>
            <w:pPr>
              <w:ind w:left="10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Ownership (Instr. 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3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3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10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3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3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0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3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7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Title</w:t>
            </w:r>
          </w:p>
        </w:tc>
        <w:tc>
          <w:tcPr>
            <w:tcW w:w="980" w:type="dxa"/>
            <w:vAlign w:val="bottom"/>
          </w:tcPr>
          <w:p>
            <w:pPr>
              <w:ind w:left="38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3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Date</w:t>
            </w:r>
          </w:p>
        </w:tc>
        <w:tc>
          <w:tcPr>
            <w:tcW w:w="1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Explanation of Responses: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Remarks: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0"/>
          <w:szCs w:val="10"/>
          <w:color w:val="008000"/>
        </w:rPr>
        <w:t>Power of Attorney Ex 24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No securities are beneficially owned.</w:t>
      </w:r>
    </w:p>
    <w:p>
      <w:pPr>
        <w:sectPr>
          <w:pgSz w:w="11900" w:h="16838" w:orient="portrait"/>
          <w:cols w:equalWidth="0" w:num="1">
            <w:col w:w="11020"/>
          </w:cols>
          <w:pgMar w:left="440" w:top="202" w:right="439" w:bottom="1440" w:gutter="0" w:footer="0" w:header="0"/>
          <w:type w:val="continuous"/>
        </w:sectPr>
      </w:pP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66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/s/ Anita Beth Adams, as attorney-in-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4199255</wp:posOffset>
            </wp:positionH>
            <wp:positionV relativeFrom="paragraph">
              <wp:posOffset>-2540</wp:posOffset>
            </wp:positionV>
            <wp:extent cx="1278255" cy="63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8255" cy="6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66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4199255</wp:posOffset>
            </wp:positionH>
            <wp:positionV relativeFrom="paragraph">
              <wp:posOffset>-7620</wp:posOffset>
            </wp:positionV>
            <wp:extent cx="128270" cy="635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270" cy="6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6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** Signature of Reporting Person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Reminder: Report on a separate line for each class of securities beneficially owned directly or indirectly.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Instruction 5 (b)(v).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jc w:val="both"/>
        <w:ind w:left="40" w:right="2600" w:hanging="6"/>
        <w:spacing w:after="0" w:line="324" w:lineRule="auto"/>
        <w:tabs>
          <w:tab w:leader="none" w:pos="149" w:val="left"/>
        </w:tabs>
        <w:numPr>
          <w:ilvl w:val="0"/>
          <w:numId w:val="3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05/22/2026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-2540</wp:posOffset>
            </wp:positionV>
            <wp:extent cx="389890" cy="635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9890" cy="6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Date</w:t>
      </w:r>
    </w:p>
    <w:p>
      <w:pPr>
        <w:sectPr>
          <w:pgSz w:w="11900" w:h="16838" w:orient="portrait"/>
          <w:cols w:equalWidth="0" w:num="2">
            <w:col w:w="8620" w:space="200"/>
            <w:col w:w="2200"/>
          </w:cols>
          <w:pgMar w:left="440" w:top="202" w:right="439" w:bottom="144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383540</wp:posOffset>
            </wp:positionH>
            <wp:positionV relativeFrom="page">
              <wp:posOffset>299720</wp:posOffset>
            </wp:positionV>
            <wp:extent cx="6944360" cy="911542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4360" cy="9115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3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1" Type="http://schemas.openxmlformats.org/officeDocument/2006/relationships/hyperlink" Target="http://www.sec.gov/cgi-bin/browse-edgar?action=getcompany&amp;CIK=0001233184" TargetMode="External"/><Relationship Id="rId12" Type="http://schemas.openxmlformats.org/officeDocument/2006/relationships/hyperlink" Target="http://www.sec.gov/cgi-bin/browse-edgar?action=getcompany&amp;CIK=000175965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2026-05-22T07:25:06Z</dcterms:created>
  <dcterms:modified xsi:type="dcterms:W3CDTF">2026-05-22T07:25:06Z</dcterms:modified>
</cp:coreProperties>
</file>