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9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Privia Health Group,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35" w:lineRule="exact"/>
        <w:rPr>
          <w:sz w:val="24"/>
          <w:szCs w:val="24"/>
          <w:color w:val="auto"/>
        </w:rPr>
      </w:pPr>
    </w:p>
    <w:tbl>
      <w:tblPr>
        <w:tblLayout w:type="fixed"/>
        <w:tblInd w:w="220" w:type="dxa"/>
        <w:tblCellMar>
          <w:top w:w="0" w:type="dxa"/>
          <w:left w:w="0" w:type="dxa"/>
          <w:bottom w:w="0" w:type="dxa"/>
          <w:right w:w="0" w:type="dxa"/>
        </w:tblCellMar>
      </w:tblPr>
      <w:tr>
        <w:trPr>
          <w:trHeight w:val="252"/>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7"/>
              </w:rPr>
              <w:t>001-40365</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81-3599420</w:t>
            </w:r>
          </w:p>
        </w:tc>
        <w:tc>
          <w:tcPr>
            <w:tcW w:w="0" w:type="dxa"/>
            <w:vAlign w:val="bottom"/>
          </w:tcPr>
          <w:p>
            <w:pPr>
              <w:spacing w:after="0"/>
              <w:rPr>
                <w:sz w:val="1"/>
                <w:szCs w:val="1"/>
                <w:color w:val="auto"/>
              </w:rPr>
            </w:pPr>
          </w:p>
        </w:tc>
      </w:tr>
      <w:tr>
        <w:trPr>
          <w:trHeight w:val="189"/>
        </w:trPr>
        <w:tc>
          <w:tcPr>
            <w:tcW w:w="45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820" w:type="dxa"/>
            <w:vAlign w:val="bottom"/>
          </w:tcPr>
          <w:p>
            <w:pPr>
              <w:jc w:val="center"/>
              <w:ind w:right="69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7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4580" w:type="dxa"/>
            <w:vAlign w:val="bottom"/>
            <w:vMerge w:val="continue"/>
          </w:tcPr>
          <w:p>
            <w:pPr>
              <w:spacing w:after="0"/>
              <w:rPr>
                <w:sz w:val="11"/>
                <w:szCs w:val="11"/>
                <w:color w:val="auto"/>
              </w:rPr>
            </w:pPr>
          </w:p>
        </w:tc>
        <w:tc>
          <w:tcPr>
            <w:tcW w:w="282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File No.)</w:t>
            </w: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950 N. Glebe Rd.,</w:t>
            </w:r>
          </w:p>
        </w:tc>
        <w:tc>
          <w:tcPr>
            <w:tcW w:w="2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28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Arlington, Virginia</w:t>
            </w:r>
          </w:p>
        </w:tc>
        <w:tc>
          <w:tcPr>
            <w:tcW w:w="2820" w:type="dxa"/>
            <w:vAlign w:val="bottom"/>
          </w:tcPr>
          <w:p>
            <w:pPr>
              <w:spacing w:after="0"/>
              <w:rPr>
                <w:sz w:val="20"/>
                <w:szCs w:val="20"/>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22203</w:t>
            </w:r>
          </w:p>
        </w:tc>
        <w:tc>
          <w:tcPr>
            <w:tcW w:w="0" w:type="dxa"/>
            <w:vAlign w:val="bottom"/>
          </w:tcPr>
          <w:p>
            <w:pPr>
              <w:spacing w:after="0"/>
              <w:rPr>
                <w:sz w:val="1"/>
                <w:szCs w:val="1"/>
                <w:color w:val="auto"/>
              </w:rPr>
            </w:pPr>
          </w:p>
        </w:tc>
      </w:tr>
      <w:tr>
        <w:trPr>
          <w:trHeight w:val="234"/>
        </w:trPr>
        <w:tc>
          <w:tcPr>
            <w:tcW w:w="4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spacing w:after="0"/>
              <w:rPr>
                <w:sz w:val="20"/>
                <w:szCs w:val="20"/>
                <w:color w:val="auto"/>
              </w:rPr>
            </w:pP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4"/>
                <w:szCs w:val="24"/>
                <w:color w:val="auto"/>
              </w:rPr>
            </w:pPr>
          </w:p>
        </w:tc>
        <w:tc>
          <w:tcPr>
            <w:tcW w:w="282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(571) 366-8850</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2"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1280" w:type="dxa"/>
            <w:vAlign w:val="bottom"/>
            <w:tcBorders>
              <w:top w:val="single" w:sz="8" w:color="auto"/>
              <w:left w:val="single" w:sz="8" w:color="auto"/>
            </w:tcBorders>
          </w:tcPr>
          <w:p>
            <w:pPr>
              <w:spacing w:after="0"/>
              <w:rPr>
                <w:sz w:val="17"/>
                <w:szCs w:val="17"/>
                <w:color w:val="auto"/>
              </w:rPr>
            </w:pPr>
          </w:p>
        </w:tc>
        <w:tc>
          <w:tcPr>
            <w:tcW w:w="2620" w:type="dxa"/>
            <w:vAlign w:val="bottom"/>
            <w:tcBorders>
              <w:top w:val="single" w:sz="8" w:color="auto"/>
              <w:right w:val="single" w:sz="8" w:color="auto"/>
            </w:tcBorders>
            <w:gridSpan w:val="2"/>
          </w:tcPr>
          <w:p>
            <w:pPr>
              <w:jc w:val="center"/>
              <w:ind w:right="12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0" w:type="dxa"/>
            <w:vAlign w:val="bottom"/>
            <w:tcBorders>
              <w:top w:val="single" w:sz="8" w:color="auto"/>
            </w:tcBorders>
          </w:tcPr>
          <w:p>
            <w:pPr>
              <w:spacing w:after="0"/>
              <w:rPr>
                <w:sz w:val="17"/>
                <w:szCs w:val="17"/>
                <w:color w:val="auto"/>
              </w:rPr>
            </w:pPr>
          </w:p>
        </w:tc>
        <w:tc>
          <w:tcPr>
            <w:tcW w:w="4160" w:type="dxa"/>
            <w:vAlign w:val="bottom"/>
            <w:tcBorders>
              <w:top w:val="single" w:sz="8" w:color="auto"/>
              <w:right w:val="single" w:sz="8" w:color="auto"/>
            </w:tcBorders>
            <w:gridSpan w:val="2"/>
          </w:tcPr>
          <w:p>
            <w:pPr>
              <w:jc w:val="center"/>
              <w:ind w:right="8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9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1"/>
              </w:rPr>
              <w:t>PRVA</w:t>
            </w:r>
          </w:p>
        </w:tc>
        <w:tc>
          <w:tcPr>
            <w:tcW w:w="80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52"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ind w:right="180"/>
        <w:spacing w:after="0" w:line="207" w:lineRule="exact"/>
        <w:tabs>
          <w:tab w:leader="none" w:pos="3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4"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2026, Privia Health Group, Inc. (the “Company”) issued a press release announcing its financial results for the first quarter ended March 31, 2026. A copy of the press release is attached hereto as Exhibit 99.1.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are “furnished” and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 Exhibit:</w:t>
            </w:r>
          </w:p>
        </w:tc>
        <w:tc>
          <w:tcPr>
            <w:tcW w:w="42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52"/>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360" w:type="dxa"/>
            <w:vAlign w:val="bottom"/>
          </w:tcPr>
          <w:p>
            <w:pPr>
              <w:jc w:val="right"/>
              <w:ind w:right="65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Privia Health Group, Inc. Press Release Dated May 7, 2026</w:t>
            </w:r>
          </w:p>
        </w:tc>
      </w:tr>
      <w:tr>
        <w:trPr>
          <w:trHeight w:val="20"/>
        </w:trPr>
        <w:tc>
          <w:tcPr>
            <w:tcW w:w="236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50"/>
        </w:trPr>
        <w:tc>
          <w:tcPr>
            <w:tcW w:w="2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Interactive Data File (formatted as Inline XBRL)</w:t>
            </w:r>
          </w:p>
        </w:tc>
      </w:tr>
      <w:tr>
        <w:trPr>
          <w:trHeight w:val="1505"/>
        </w:trPr>
        <w:tc>
          <w:tcPr>
            <w:tcW w:w="23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PRIVIA HEALTH GROUP, INC.</w:t>
      </w:r>
    </w:p>
    <w:p>
      <w:pPr>
        <w:spacing w:after="0" w:line="117"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9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Mountcastle</w:t>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and Authorized</w:t>
      </w:r>
    </w:p>
    <w:p>
      <w:pPr>
        <w:ind w:left="58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00"/>
          </w:cols>
          <w:pgMar w:left="320" w:top="1413" w:right="3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42545</wp:posOffset>
            </wp:positionV>
            <wp:extent cx="1928495"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84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Privia Health Reports First Quarter 2026 Financial Results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Strong First Quarter Performance and Operating Execution</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  Reiterated Full-Year 2026 Guidance Reflects Continued Momentum</w:t>
      </w:r>
    </w:p>
    <w:p>
      <w:pPr>
        <w:spacing w:after="0" w:line="2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ARLINGTON, VA – May 7, 2026 </w:t>
      </w:r>
      <w:r>
        <w:rPr>
          <w:rFonts w:ascii="Times New Roman" w:cs="Times New Roman" w:eastAsia="Times New Roman" w:hAnsi="Times New Roman"/>
          <w:sz w:val="20"/>
          <w:szCs w:val="20"/>
          <w:color w:val="auto"/>
        </w:rPr>
        <w:t>– Privia Health Group, Inc. (Nasdaq: PRVA) today announced financial results for the first quarter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31, 2026.</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20" w:type="dxa"/>
            <w:vAlign w:val="bottom"/>
          </w:tcPr>
          <w:p>
            <w:pPr>
              <w:spacing w:after="0"/>
              <w:rPr>
                <w:sz w:val="20"/>
                <w:szCs w:val="20"/>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millions, except per share amounts)</w:t>
            </w:r>
          </w:p>
        </w:tc>
        <w:tc>
          <w:tcPr>
            <w:tcW w:w="4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ind w:right="522"/>
              <w:spacing w:after="0" w:line="223" w:lineRule="exact"/>
              <w:rPr>
                <w:sz w:val="20"/>
                <w:szCs w:val="20"/>
                <w:color w:val="auto"/>
              </w:rPr>
            </w:pPr>
            <w:r>
              <w:rPr>
                <w:rFonts w:ascii="Times New Roman" w:cs="Times New Roman" w:eastAsia="Times New Roman" w:hAnsi="Times New Roman"/>
                <w:sz w:val="18"/>
                <w:szCs w:val="18"/>
                <w:b w:val="1"/>
                <w:bCs w:val="1"/>
                <w:color w:val="auto"/>
              </w:rPr>
              <w:t>Change (%)</w:t>
            </w:r>
            <w:r>
              <w:rPr>
                <w:rFonts w:ascii="Times New Roman" w:cs="Times New Roman" w:eastAsia="Times New Roman" w:hAnsi="Times New Roman"/>
                <w:sz w:val="23"/>
                <w:szCs w:val="23"/>
                <w:b w:val="1"/>
                <w:bCs w:val="1"/>
                <w:color w:val="auto"/>
                <w:vertAlign w:val="superscript"/>
              </w:rPr>
              <w:t>*</w:t>
            </w:r>
          </w:p>
        </w:tc>
      </w:tr>
      <w:tr>
        <w:trPr>
          <w:trHeight w:val="335"/>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603.8</w:t>
            </w:r>
          </w:p>
        </w:tc>
        <w:tc>
          <w:tcPr>
            <w:tcW w:w="100" w:type="dxa"/>
            <w:vAlign w:val="bottom"/>
          </w:tcPr>
          <w:p>
            <w:pPr>
              <w:spacing w:after="0"/>
              <w:rPr>
                <w:sz w:val="24"/>
                <w:szCs w:val="24"/>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480.1</w:t>
            </w:r>
          </w:p>
        </w:tc>
        <w:tc>
          <w:tcPr>
            <w:tcW w:w="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25.8 %</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10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1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21.2 %</w:t>
            </w: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0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42.2 %</w:t>
            </w:r>
          </w:p>
        </w:tc>
      </w:tr>
      <w:tr>
        <w:trPr>
          <w:trHeight w:val="257"/>
        </w:trPr>
        <w:tc>
          <w:tcPr>
            <w:tcW w:w="504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5"/>
                <w:szCs w:val="25"/>
                <w:color w:val="auto"/>
                <w:vertAlign w:val="superscript"/>
              </w:rPr>
              <w:t>a</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r>
      <w:tr>
        <w:trPr>
          <w:trHeight w:val="257"/>
        </w:trPr>
        <w:tc>
          <w:tcPr>
            <w:tcW w:w="504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 xml:space="preserve">Non-GAAP adjusted net income </w:t>
            </w:r>
            <w:r>
              <w:rPr>
                <w:rFonts w:ascii="Times New Roman" w:cs="Times New Roman" w:eastAsia="Times New Roman" w:hAnsi="Times New Roman"/>
                <w:sz w:val="25"/>
                <w:szCs w:val="25"/>
                <w:color w:val="auto"/>
                <w:vertAlign w:val="superscript"/>
              </w:rPr>
              <w:t>b</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0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22.3 %</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Net income per share</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0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10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341"/>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Non-GAAP adjusted net income per share </w:t>
            </w:r>
            <w:r>
              <w:rPr>
                <w:rFonts w:ascii="Times New Roman" w:cs="Times New Roman" w:eastAsia="Times New Roman" w:hAnsi="Times New Roman"/>
                <w:sz w:val="25"/>
                <w:szCs w:val="25"/>
                <w:color w:val="auto"/>
                <w:vertAlign w:val="superscript"/>
              </w:rPr>
              <w:t>b</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100" w:type="dxa"/>
            <w:vAlign w:val="bottom"/>
          </w:tcPr>
          <w:p>
            <w:pPr>
              <w:spacing w:after="0"/>
              <w:rPr>
                <w:sz w:val="24"/>
                <w:szCs w:val="24"/>
                <w:color w:val="auto"/>
              </w:rPr>
            </w:pP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18.8 %</w:t>
            </w:r>
          </w:p>
        </w:tc>
      </w:tr>
    </w:tbl>
    <w:p>
      <w:pPr>
        <w:spacing w:after="0" w:line="19" w:lineRule="exact"/>
        <w:rPr>
          <w:sz w:val="20"/>
          <w:szCs w:val="20"/>
          <w:color w:val="auto"/>
        </w:rPr>
      </w:pPr>
    </w:p>
    <w:p>
      <w:pPr>
        <w:ind w:left="680" w:hanging="330"/>
        <w:spacing w:after="0"/>
        <w:tabs>
          <w:tab w:leader="none" w:pos="6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slight variations in totals are due to rounding.</w:t>
      </w:r>
    </w:p>
    <w:p>
      <w:pPr>
        <w:spacing w:after="0" w:line="86" w:lineRule="exact"/>
        <w:rPr>
          <w:sz w:val="20"/>
          <w:szCs w:val="20"/>
          <w:color w:val="auto"/>
        </w:rPr>
      </w:pPr>
    </w:p>
    <w:p>
      <w:pPr>
        <w:ind w:left="680" w:right="20" w:hanging="330"/>
        <w:spacing w:after="0" w:line="245" w:lineRule="auto"/>
        <w:tabs>
          <w:tab w:leader="none" w:pos="67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three months ended March 31, 2026, included $21.9 million in non-cash stock compensation expense. Net income for the three months ended March 31, 2025 included $17.8 million in non-cash stock compensation expense.</w:t>
      </w:r>
    </w:p>
    <w:p>
      <w:pPr>
        <w:spacing w:after="0" w:line="56" w:lineRule="exact"/>
        <w:rPr>
          <w:rFonts w:ascii="Times New Roman" w:cs="Times New Roman" w:eastAsia="Times New Roman" w:hAnsi="Times New Roman"/>
          <w:sz w:val="16"/>
          <w:szCs w:val="16"/>
          <w:color w:val="auto"/>
        </w:rPr>
      </w:pPr>
    </w:p>
    <w:p>
      <w:pPr>
        <w:ind w:left="680" w:hanging="330"/>
        <w:spacing w:after="0"/>
        <w:tabs>
          <w:tab w:leader="none" w:pos="6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Reconciliations of non-GAAP adjusted net income and other non-GAAP financial measures are presented in tables near the end of this press release.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Quarter 2026 highlights include:</w:t>
      </w:r>
    </w:p>
    <w:p>
      <w:pPr>
        <w:spacing w:after="0" w:line="121"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strength in same-store growth and new provider additions;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 Collections of $914.8M, +14.6% versus 1Q’25; and</w:t>
      </w:r>
    </w:p>
    <w:p>
      <w:pPr>
        <w:spacing w:after="0" w:line="4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8"/>
          <w:szCs w:val="28"/>
          <w:color w:val="auto"/>
          <w:vertAlign w:val="superscript"/>
        </w:rPr>
        <w:t>c e f</w:t>
      </w:r>
      <w:r>
        <w:rPr>
          <w:rFonts w:ascii="Times New Roman" w:cs="Times New Roman" w:eastAsia="Times New Roman" w:hAnsi="Times New Roman"/>
          <w:sz w:val="20"/>
          <w:szCs w:val="20"/>
          <w:color w:val="auto"/>
        </w:rPr>
        <w:t xml:space="preserve"> of $36.7M, +36.3% versus 1Q’25.</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Key Operating and Non-GAAP Financial Metrics </w:t>
      </w:r>
      <w:r>
        <w:rPr>
          <w:rFonts w:ascii="Times New Roman" w:cs="Times New Roman" w:eastAsia="Times New Roman" w:hAnsi="Times New Roman"/>
          <w:sz w:val="25"/>
          <w:szCs w:val="25"/>
          <w:i w:val="1"/>
          <w:iCs w:val="1"/>
          <w:color w:val="auto"/>
          <w:vertAlign w:val="superscript"/>
        </w:rPr>
        <w:t>c</w:t>
      </w:r>
    </w:p>
    <w:p>
      <w:pPr>
        <w:spacing w:after="0" w:line="1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millions)</w:t>
            </w: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335"/>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Implemented Providers</w:t>
            </w: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4,871</w:t>
            </w:r>
          </w:p>
        </w:tc>
        <w:tc>
          <w:tcPr>
            <w:tcW w:w="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13.6 %</w:t>
            </w:r>
          </w:p>
        </w:tc>
      </w:tr>
      <w:tr>
        <w:trPr>
          <w:trHeight w:val="256"/>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Value-Based Care Attributed Lives</w:t>
            </w: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1,606,000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1,270,000</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26.5 %</w:t>
            </w: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Practice Collections</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914.8</w:t>
            </w:r>
          </w:p>
        </w:tc>
        <w:tc>
          <w:tcPr>
            <w:tcW w:w="10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798.6</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14.6 %</w:t>
            </w:r>
          </w:p>
        </w:tc>
      </w:tr>
      <w:tr>
        <w:trPr>
          <w:trHeight w:val="256"/>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Care Margin</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w:t>
            </w:r>
          </w:p>
        </w:tc>
        <w:tc>
          <w:tcPr>
            <w:tcW w:w="10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22.3 %</w:t>
            </w: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Platform Contribution</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10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29.6 %</w:t>
            </w:r>
          </w:p>
        </w:tc>
      </w:tr>
      <w:tr>
        <w:trPr>
          <w:trHeight w:val="25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10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36.3 %</w:t>
            </w:r>
          </w:p>
        </w:tc>
      </w:tr>
    </w:tbl>
    <w:p>
      <w:pPr>
        <w:spacing w:after="0" w:line="102" w:lineRule="exact"/>
        <w:rPr>
          <w:sz w:val="20"/>
          <w:szCs w:val="20"/>
          <w:color w:val="auto"/>
        </w:rPr>
      </w:pPr>
    </w:p>
    <w:p>
      <w:pPr>
        <w:ind w:left="1000" w:right="680" w:hanging="326"/>
        <w:spacing w:after="0" w:line="245" w:lineRule="auto"/>
        <w:tabs>
          <w:tab w:leader="none" w:pos="9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Reconciliations of Care Margin, Platform Contribution, Adjusted EBITDA and other non-GAAP financial measures are presented in tables near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67" w:right="339" w:bottom="1440" w:gutter="0" w:footer="0" w:header="0"/>
        </w:sectPr>
      </w:pPr>
    </w:p>
    <w:bookmarkStart w:id="4" w:name="page5"/>
    <w:bookmarkEnd w:id="4"/>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Updated Full-Year 2026 Guidance </w:t>
      </w:r>
      <w:r>
        <w:rPr>
          <w:rFonts w:ascii="Times New Roman" w:cs="Times New Roman" w:eastAsia="Times New Roman" w:hAnsi="Times New Roman"/>
          <w:sz w:val="25"/>
          <w:szCs w:val="25"/>
          <w:color w:val="auto"/>
          <w:vertAlign w:val="superscript"/>
        </w:rPr>
        <w:t>d e f 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Privia Health maintained its full-year 2026 outlook for most metrics, and raised its guidance range for Attributed Lives,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Initial FY 2026 Guidance at 2.27.26 </w:t>
            </w:r>
            <w:r>
              <w:rPr>
                <w:rFonts w:ascii="Times New Roman" w:cs="Times New Roman" w:eastAsia="Times New Roman" w:hAnsi="Times New Roman"/>
                <w:sz w:val="23"/>
                <w:szCs w:val="23"/>
                <w:b w:val="1"/>
                <w:bCs w:val="1"/>
                <w:color w:val="auto"/>
                <w:vertAlign w:val="superscript"/>
              </w:rPr>
              <w:t>d</w:t>
            </w:r>
          </w:p>
        </w:tc>
        <w:tc>
          <w:tcPr>
            <w:tcW w:w="100" w:type="dxa"/>
            <w:vAlign w:val="bottom"/>
          </w:tcPr>
          <w:p>
            <w:pPr>
              <w:spacing w:after="0"/>
              <w:rPr>
                <w:sz w:val="22"/>
                <w:szCs w:val="22"/>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Updated FY 2026 Guidance at 5.7.26</w:t>
            </w:r>
          </w:p>
        </w:tc>
      </w:tr>
      <w:tr>
        <w:trPr>
          <w:trHeight w:val="23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80" w:type="dxa"/>
            <w:vAlign w:val="bottom"/>
          </w:tcPr>
          <w:p>
            <w:pPr>
              <w:spacing w:after="0"/>
              <w:rPr>
                <w:sz w:val="20"/>
                <w:szCs w:val="20"/>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Low</w:t>
            </w:r>
          </w:p>
        </w:tc>
        <w:tc>
          <w:tcPr>
            <w:tcW w:w="36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000" w:type="dxa"/>
            <w:vAlign w:val="bottom"/>
          </w:tcPr>
          <w:p>
            <w:pPr>
              <w:spacing w:after="0"/>
              <w:rPr>
                <w:sz w:val="20"/>
                <w:szCs w:val="20"/>
                <w:color w:val="auto"/>
              </w:rPr>
            </w:pPr>
          </w:p>
        </w:tc>
      </w:tr>
      <w:tr>
        <w:trPr>
          <w:trHeight w:val="227"/>
        </w:trPr>
        <w:tc>
          <w:tcPr>
            <w:tcW w:w="31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Implemented Providers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3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Attributed Lives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1,600,000 - 1,625,000</w:t>
            </w: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Practice Collections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GAAP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r>
        <w:trPr>
          <w:trHeight w:val="257"/>
        </w:trPr>
        <w:tc>
          <w:tcPr>
            <w:tcW w:w="318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 xml:space="preserve">Care Margin </w:t>
            </w:r>
            <w:r>
              <w:rPr>
                <w:rFonts w:ascii="Times New Roman" w:cs="Times New Roman" w:eastAsia="Times New Roman" w:hAnsi="Times New Roman"/>
                <w:sz w:val="25"/>
                <w:szCs w:val="25"/>
                <w:color w:val="auto"/>
                <w:vertAlign w:val="superscript"/>
              </w:rPr>
              <w:t>d e f</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r>
        <w:trPr>
          <w:trHeight w:val="257"/>
        </w:trPr>
        <w:tc>
          <w:tcPr>
            <w:tcW w:w="318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 xml:space="preserve">Platform Contribution </w:t>
            </w:r>
            <w:r>
              <w:rPr>
                <w:rFonts w:ascii="Times New Roman" w:cs="Times New Roman" w:eastAsia="Times New Roman" w:hAnsi="Times New Roman"/>
                <w:sz w:val="25"/>
                <w:szCs w:val="25"/>
                <w:color w:val="auto"/>
                <w:vertAlign w:val="superscript"/>
              </w:rPr>
              <w:t>d 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r>
        <w:trPr>
          <w:trHeight w:val="266"/>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11"/>
                <w:szCs w:val="11"/>
                <w:color w:val="auto"/>
              </w:rPr>
              <w:t>d e f</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Unchanged</w:t>
            </w:r>
          </w:p>
        </w:tc>
      </w:tr>
    </w:tbl>
    <w:p>
      <w:pPr>
        <w:spacing w:after="0" w:line="180" w:lineRule="exact"/>
        <w:rPr>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 approximately 80% of Adjusted EBITDA to convert to free cash flow in full-year 2026</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Guidance does not assume any new business development activity</w:t>
      </w:r>
    </w:p>
    <w:p>
      <w:pPr>
        <w:spacing w:after="0" w:line="319"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has not reconciled forward-looking non-GAAP measures to their most directly comparable GAAP measures of Gross Profit, Operating Income and Net Income. This is because the Company cannot predict with reasonable certainty and without unreasonable efforts the ultimate outcome of certain GAAP components of such reconciliations due to market-related assumptions that are not within our control as well as certain legal or advisory costs, tax costs or other costs that may arise. For these reasons, management is unable to assess the probable significance of the unavailable information, which could materially impact the amount of the future directly comparable GAAP measures.</w:t>
      </w:r>
    </w:p>
    <w:p>
      <w:pPr>
        <w:spacing w:after="0" w:line="71"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“Key Metrics and Non-GAAP Financial Measures” for more information as to how the Company defines and calculates Implemented Providers, Attributed Lives, Practice Collections, Care Margin, Platform Contribution, and Adjusted EBITDA, and for a reconciliation of the most comparable GAAP measures to Care Margin, Platform Contribution, Adjusted EBITDA, Adjusted Net Income and Adjusted Net Income Per Share.</w:t>
      </w:r>
    </w:p>
    <w:p>
      <w:pPr>
        <w:spacing w:after="0" w:line="62"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non-recurring or non-cash and other expenses will be treated as an add back in the reconciliation of Net Income to Adjusted EBITDA, and the reconciliation of Net Income to Adjusted Net Income and Adjusted Net Income Per Share, the details of which can be found in the Reconciliation schedules near the end of this and in future quarterly press releases.</w:t>
      </w:r>
    </w:p>
    <w:p>
      <w:pPr>
        <w:spacing w:after="0" w:line="6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slight variations in totals due to rounding.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Information</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The Company will host a conference call on May 7, 2026, at 8:00 am ET to discuss these results and management’s outlook for future financial and operational performance. You can visit </w:t>
      </w:r>
      <w:r>
        <w:rPr>
          <w:rFonts w:ascii="Times New Roman" w:cs="Times New Roman" w:eastAsia="Times New Roman" w:hAnsi="Times New Roman"/>
          <w:sz w:val="20"/>
          <w:szCs w:val="20"/>
          <w:color w:val="3051F2"/>
        </w:rPr>
        <w:t>ir.priviahealth.com/news-and-events/events-and-presentations</w:t>
      </w:r>
      <w:r>
        <w:rPr>
          <w:rFonts w:ascii="Times New Roman" w:cs="Times New Roman" w:eastAsia="Times New Roman" w:hAnsi="Times New Roman"/>
          <w:sz w:val="20"/>
          <w:szCs w:val="20"/>
          <w:color w:val="auto"/>
        </w:rPr>
        <w:t xml:space="preserve"> to listen to the call via live webcast. The webcast will be archived and available for replay for on-demand listening shortly after the completion of the call under the same link. If you wish to participate in the live conference call, then please dial 888-596-4144 (or 646-968-2525 for international callers) and provide Conference ID 5704885.</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This news release and the financial statements contained herein, and the slide presentation for the webcast, are also available on the Privia Health Investor Relations website at </w:t>
      </w:r>
      <w:r>
        <w:rPr>
          <w:rFonts w:ascii="Times New Roman" w:cs="Times New Roman" w:eastAsia="Times New Roman" w:hAnsi="Times New Roman"/>
          <w:sz w:val="20"/>
          <w:szCs w:val="20"/>
          <w:color w:val="0000FF"/>
        </w:rPr>
        <w:t>ir.priviahealth.com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Privia Health</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Privia Health™ is one of the largest physician enablement companies in the United States with a presence in 24 states and the District of Columbia. Privia builds scaled provider networks with primary-care centric medical groups, risk-bearing entities, a physician-led governance structure, and the Privia Platform comprising an extensive suite of technology and service solutions. Privia collaborates with medical groups, health plans and health systems to optimize 1,300+ physician practices, improve the patient experience for 5.9+ million patients, and reward 5,500+ physicians and advanced practitioners for delivering high-value care.</w:t>
      </w:r>
    </w:p>
    <w:p>
      <w:pPr>
        <w:spacing w:after="0" w:line="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Privia’s mission is to transform healthcare delivery to achieve better outcomes, lower costs, and improve the health of communities and the well-being of providers. For more information, visit priviahealth.com.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reports and discusses its operating results using financial measures consistent with accounting principles generally accepted in the United States ("GAAP"). From time to time, in press releases, financial presentations, earnings conference calls or otherwise, the Company may disclose certain non-GAAP financial measures. The non-GAAP financial measures presented in this press release should not be viewed as alternatives or substitutes for the Company's reported GAAP results. A reconciliation to the most directly comparable GAAP financial measure is set forth in the tables that accompany this release.</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believes that the non-GAAP financial measures presented in this press release are relevant and provide useful information to the Company's management, investors, and other interested parties about the Company's operating performance because the measures allow them to understand and compare the Company's actual and expected operating results during the prior, current and future periods in a more consistent manner. The non-GAAP measures presented in this press release may not be comparable to similarly titled measures used by other companies. These non-GAAP financial measures are used in addition to and in conjunction with results presented in accordance with GAAP and reflect an additional way of viewing aspects of the Company's operations that, when viewed with GAAP results and the accompanying reconciliations to corresponding GAAP financial measures, provides a more complete understanding of the results of operations and trends affecting the Company's business. These non-GAAP financial measures should be considered as a supplement to, and not as a substitute for, or superior to financial measures calculated in accordance with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financial results in this press release reflect preliminary, unaudited results, which are not final until the Company’s Form 10-Q is filed with the Securities and Exchange Commission (“SEC”). This press release contains "forward-looking statements" within the meaning of the U.S. Private Securities Litigation Reform Act of 1995. Such statements relate to our current expectations, projections and assumptions about our business, the economy and future events or conditions. They do not relate strictly to historical or current facts. Forward-looking statements can be identified by words such as “aims,” “anticipates,” "assumes," “believes,” “estimates,” “expects,” “forecasts,” “future,” “intends,” “likely,” “may,” “outlook,” “plans,” “potential,” “projects,” “seeks,” “strategy,” “targets,” “trends,” “will,” “would,” “could,” “should,” and variations of such terms and similar expressions and references to guidance, although some forward-looking statements may be expressed differently. In particular, these include statements relating to, among other things, our future actions, business plans, objectives and prospects; and our future operating or financial performance and projections, including our full year guidance for 2026. Factors or events that could cause actual results to differ may emerge from time to time and are difficult to predict. Should known or unknown risks or uncertainties materialize, or should underlying assumptions prove inaccurate, actual results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differ materially from past results and those anticipated, estimated or projected. We caution you not to place undue reliance upon any of these forward-looking statements.</w:t>
      </w:r>
    </w:p>
    <w:p>
      <w:pPr>
        <w:spacing w:after="0" w:line="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Factors related to these risks and uncertainties include, but are not limited to: the heavily regulated industry in which we operate, and any failure by us or our medical groups to comply with the extensive applicable healthcare laws and government regulations; the complexity of the legal framework governing our relationships with Medical Groups, some of which we do not own, and Privia providers, and the impact of legal challenges or shifting interpretations of applicable laws; the execution of our growth strategy, which may not prove viable and we may not realize expected results; difficulties timely implementing our proprietary end-to-end, cloud-based technology solution for Privia physicians and new medical groups; the high level of competition in our industry; challenges in successfully establishing a presence in new geographic markets; the impact of failures by or service disruptions at key third-party vendors, such as our primary electronic medical record vendor, athenahealth, Inc.; potential decreases in reimbursement rates by governmental and third-party payers, changes to payment terms or challenges negotiating and retaining favorable contracts with private third-party payers, and changes impacting our patient population; the financial and operational impact of our compliance with various complex and changing federal and state privacy and security laws and regulations related to our use, disclosure, and other processing of personal information and protected health information, including the Health Insurance Portability and Accountability Act of 1996; the impact of actual and potential security threats, cybersecurity incidents or privacy or other forms of data breaches involving us, our vendors or other third parties; the continued availability of qualified workforce, including staff at our medical groups, and the continued upward pressure on compensation for such workforce; and other risk factors described in our Annual Report on Form 10-K for the year ended December 31, 2025 and the Company’s subsequent Quarterly Reports on Form 10-Q. All information in this press release is as of the date of the release, and the Company undertakes no duty to update this information unless required by law.</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Borchert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SVP, Investor &amp; Corporate Communications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IR@priviahealth.com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817.783.4841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r>
        <w:rPr>
          <w:rFonts w:ascii="Times New Roman" w:cs="Times New Roman" w:eastAsia="Times New Roman" w:hAnsi="Times New Roman"/>
          <w:sz w:val="23"/>
          <w:szCs w:val="23"/>
          <w:b w:val="1"/>
          <w:bCs w:val="1"/>
          <w:color w:val="auto"/>
          <w:vertAlign w:val="superscript"/>
        </w:rPr>
        <w:t>(g)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8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603,847</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480,097</w:t>
            </w:r>
          </w:p>
        </w:tc>
      </w:tr>
      <w:tr>
        <w:trPr>
          <w:trHeight w:val="49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9"/>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Provider expense</w:t>
            </w: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374,809</w:t>
            </w:r>
          </w:p>
        </w:tc>
      </w:tr>
      <w:tr>
        <w:trPr>
          <w:trHeight w:val="230"/>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platform</w:t>
            </w: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59,526</w:t>
            </w:r>
          </w:p>
        </w:tc>
      </w:tr>
      <w:tr>
        <w:trPr>
          <w:trHeight w:val="229"/>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30"/>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31,721</w:t>
            </w:r>
          </w:p>
        </w:tc>
      </w:tr>
      <w:tr>
        <w:trPr>
          <w:trHeight w:val="234"/>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474,879</w:t>
            </w: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Privia Health Group,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Privia Health Group, Inc. stockholders –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Privia Health Group, Inc. stockholders – diluted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124,152,526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120,623,670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130,878,939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127,752,527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Any slight variations in totals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60" w:firstLine="486"/>
        <w:spacing w:after="0" w:line="27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jc w:val="center"/>
        <w:ind w:right="4000"/>
        <w:spacing w:after="0" w:line="236" w:lineRule="auto"/>
        <w:rPr>
          <w:sz w:val="20"/>
          <w:szCs w:val="20"/>
          <w:color w:val="auto"/>
        </w:rPr>
      </w:pPr>
      <w:r>
        <w:rPr>
          <w:rFonts w:ascii="Times New Roman" w:cs="Times New Roman" w:eastAsia="Times New Roman" w:hAnsi="Times New Roman"/>
          <w:sz w:val="17"/>
          <w:szCs w:val="17"/>
          <w:b w:val="1"/>
          <w:bCs w:val="1"/>
          <w:color w:val="auto"/>
        </w:rPr>
        <w:t>Condensed Consolidated Balance Sheets</w:t>
      </w:r>
      <w:r>
        <w:rPr>
          <w:rFonts w:ascii="Times New Roman" w:cs="Times New Roman" w:eastAsia="Times New Roman" w:hAnsi="Times New Roman"/>
          <w:sz w:val="22"/>
          <w:szCs w:val="22"/>
          <w:b w:val="1"/>
          <w:bCs w:val="1"/>
          <w:color w:val="auto"/>
          <w:vertAlign w:val="superscript"/>
        </w:rPr>
        <w:t>(h)</w:t>
      </w: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 w:lineRule="exact"/>
        <w:rPr>
          <w:sz w:val="20"/>
          <w:szCs w:val="20"/>
          <w:color w:val="auto"/>
        </w:rPr>
      </w:pPr>
    </w:p>
    <w:tbl>
      <w:tblPr>
        <w:tblLayout w:type="fixed"/>
        <w:tblInd w:w="2740" w:type="dxa"/>
        <w:tblCellMar>
          <w:top w:w="0" w:type="dxa"/>
          <w:left w:w="0" w:type="dxa"/>
          <w:bottom w:w="0" w:type="dxa"/>
          <w:right w:w="0" w:type="dxa"/>
        </w:tblCellMar>
      </w:tblPr>
      <w:tr>
        <w:trPr>
          <w:trHeight w:val="238"/>
        </w:trPr>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6"/>
        </w:trPr>
        <w:tc>
          <w:tcPr>
            <w:tcW w:w="28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47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419,524</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479,685</w:t>
            </w:r>
          </w:p>
        </w:tc>
      </w:tr>
      <w:tr>
        <w:trPr>
          <w:trHeight w:val="229"/>
        </w:trPr>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400,902</w:t>
            </w:r>
          </w:p>
        </w:tc>
      </w:tr>
      <w:tr>
        <w:trPr>
          <w:trHeight w:val="234"/>
        </w:trPr>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30,414</w:t>
            </w:r>
          </w:p>
        </w:tc>
      </w:tr>
      <w:tr>
        <w:trPr>
          <w:trHeight w:val="228"/>
        </w:trPr>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911,001</w:t>
            </w:r>
          </w:p>
        </w:tc>
      </w:tr>
      <w:tr>
        <w:trPr>
          <w:trHeight w:val="449"/>
        </w:trPr>
        <w:tc>
          <w:tcPr>
            <w:tcW w:w="2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r>
      <w:tr>
        <w:trPr>
          <w:trHeight w:val="229"/>
        </w:trPr>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215,919</w:t>
            </w:r>
          </w:p>
        </w:tc>
      </w:tr>
      <w:tr>
        <w:trPr>
          <w:trHeight w:val="230"/>
        </w:trPr>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209,842</w:t>
            </w:r>
          </w:p>
        </w:tc>
      </w:tr>
      <w:tr>
        <w:trPr>
          <w:trHeight w:val="229"/>
        </w:trPr>
        <w:tc>
          <w:tcPr>
            <w:tcW w:w="28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34"/>
        </w:trPr>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w:t>
            </w:r>
          </w:p>
        </w:tc>
      </w:tr>
      <w:tr>
        <w:trPr>
          <w:trHeight w:val="223"/>
        </w:trPr>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451,870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458,377</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1,417,892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3540" w:space="460"/>
            <w:col w:w="7240"/>
          </w:cols>
          <w:pgMar w:left="320" w:top="1440" w:right="339" w:bottom="1440" w:gutter="0" w:footer="0" w:header="0"/>
        </w:sectPr>
      </w:pPr>
    </w:p>
    <w:tbl>
      <w:tblPr>
        <w:tblLayout w:type="fixed"/>
        <w:tblInd w:w="6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80,555</w:t>
            </w:r>
          </w:p>
        </w:tc>
        <w:tc>
          <w:tcPr>
            <w:tcW w:w="1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96,804</w:t>
            </w: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Provider liability</w:t>
            </w: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518,629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469,516</w:t>
            </w:r>
          </w:p>
        </w:tc>
      </w:tr>
      <w:tr>
        <w:trPr>
          <w:trHeight w:val="234"/>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601,298</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568,520</w:t>
            </w:r>
          </w:p>
        </w:tc>
      </w:tr>
      <w:tr>
        <w:trPr>
          <w:trHeight w:val="205"/>
        </w:trPr>
        <w:tc>
          <w:tcPr>
            <w:tcW w:w="6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Non-current liabilities:</w:t>
            </w: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 liability</w:t>
            </w: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611,988</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578,435</w:t>
            </w:r>
          </w:p>
        </w:tc>
      </w:tr>
      <w:tr>
        <w:trPr>
          <w:trHeight w:val="205"/>
        </w:trPr>
        <w:tc>
          <w:tcPr>
            <w:tcW w:w="6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905,048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892,291</w:t>
            </w:r>
          </w:p>
        </w:tc>
      </w:tr>
      <w:tr>
        <w:trPr>
          <w:trHeight w:val="234"/>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(153,246)</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(156,310)</w:t>
            </w:r>
          </w:p>
        </w:tc>
      </w:tr>
      <w:tr>
        <w:trPr>
          <w:trHeight w:val="218"/>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Privia Health Group, Inc. stockholders’ equity</w:t>
            </w:r>
          </w:p>
        </w:tc>
        <w:tc>
          <w:tcPr>
            <w:tcW w:w="7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753,059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737,217</w:t>
            </w:r>
          </w:p>
        </w:tc>
      </w:tr>
      <w:tr>
        <w:trPr>
          <w:trHeight w:val="234"/>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52,845</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53,726</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805,904</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790,943</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1,417,892</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1,369,378</w:t>
            </w:r>
          </w:p>
        </w:tc>
      </w:tr>
      <w:tr>
        <w:trPr>
          <w:trHeight w:val="20"/>
        </w:trPr>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Any slight variations in totals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r>
        <w:rPr>
          <w:rFonts w:ascii="Times New Roman" w:cs="Times New Roman" w:eastAsia="Times New Roman" w:hAnsi="Times New Roman"/>
          <w:sz w:val="23"/>
          <w:szCs w:val="23"/>
          <w:b w:val="1"/>
          <w:bCs w:val="1"/>
          <w:color w:val="auto"/>
          <w:vertAlign w:val="superscript"/>
        </w:rPr>
        <w:t>(i)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5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40" w:type="dxa"/>
            <w:vAlign w:val="bottom"/>
          </w:tcPr>
          <w:p>
            <w:pPr>
              <w:spacing w:after="0"/>
              <w:rPr>
                <w:sz w:val="19"/>
                <w:szCs w:val="19"/>
                <w:color w:val="auto"/>
              </w:rPr>
            </w:pP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0" w:type="dxa"/>
            <w:vAlign w:val="bottom"/>
          </w:tcPr>
          <w:p>
            <w:pPr>
              <w:spacing w:after="0"/>
              <w:rPr>
                <w:sz w:val="1"/>
                <w:szCs w:val="1"/>
                <w:color w:val="auto"/>
              </w:rPr>
            </w:pPr>
          </w:p>
        </w:tc>
      </w:tr>
      <w:tr>
        <w:trPr>
          <w:trHeight w:val="230"/>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 and liabilities:</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(112,774)</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(72,548)</w:t>
            </w:r>
          </w:p>
        </w:tc>
        <w:tc>
          <w:tcPr>
            <w:tcW w:w="0" w:type="dxa"/>
            <w:vAlign w:val="bottom"/>
          </w:tcPr>
          <w:p>
            <w:pPr>
              <w:spacing w:after="0"/>
              <w:rPr>
                <w:sz w:val="1"/>
                <w:szCs w:val="1"/>
                <w:color w:val="auto"/>
              </w:rPr>
            </w:pPr>
          </w:p>
        </w:tc>
      </w:tr>
      <w:tr>
        <w:trPr>
          <w:trHeight w:val="230"/>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 and right-of-use assets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0" w:type="dxa"/>
            <w:vAlign w:val="bottom"/>
          </w:tcPr>
          <w:p>
            <w:pPr>
              <w:spacing w:after="0"/>
              <w:rPr>
                <w:sz w:val="1"/>
                <w:szCs w:val="1"/>
                <w:color w:val="auto"/>
              </w:rPr>
            </w:pPr>
          </w:p>
        </w:tc>
      </w:tr>
      <w:tr>
        <w:trPr>
          <w:trHeight w:val="230"/>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Provider liability</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49,113</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35,681</w:t>
            </w: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4"/>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(49,465)</w:t>
            </w:r>
          </w:p>
        </w:tc>
        <w:tc>
          <w:tcPr>
            <w:tcW w:w="1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from investing activities</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34"/>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1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(60,161)</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479,685</w:t>
            </w:r>
          </w:p>
        </w:tc>
        <w:tc>
          <w:tcPr>
            <w:tcW w:w="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491,149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419,524</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469,331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580" w:type="dxa"/>
            <w:vAlign w:val="bottom"/>
            <w:vMerge w:val="continue"/>
          </w:tcPr>
          <w:p>
            <w:pPr>
              <w:spacing w:after="0"/>
              <w:rPr>
                <w:sz w:val="24"/>
                <w:szCs w:val="24"/>
                <w:color w:val="auto"/>
              </w:rPr>
            </w:pPr>
          </w:p>
        </w:tc>
        <w:tc>
          <w:tcPr>
            <w:tcW w:w="14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4"/>
                <w:szCs w:val="24"/>
                <w:color w:val="auto"/>
              </w:rPr>
            </w:pPr>
          </w:p>
        </w:tc>
        <w:tc>
          <w:tcPr>
            <w:tcW w:w="152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14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paid (refunds received)</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Any slight variations in totals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 disaggregated by source:</w:t>
      </w:r>
    </w:p>
    <w:p>
      <w:pPr>
        <w:spacing w:after="0" w:line="15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FFS-patient care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391,133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311,761</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32,255</w:t>
            </w: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Capitated revenue</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70,690</w:t>
            </w: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savings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Care management fees (PMPM)</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603,847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480,097</w:t>
            </w: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Company’s liabilities for unpaid medical claims under at-risk capitation arrangements: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540" w:type="dxa"/>
            <w:vAlign w:val="bottom"/>
            <w:tcBorders>
              <w:bottom w:val="single" w:sz="8" w:color="auto"/>
            </w:tcBorders>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66,355</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Incurred health care costs:</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70,565</w:t>
            </w:r>
          </w:p>
        </w:tc>
      </w:tr>
      <w:tr>
        <w:trPr>
          <w:trHeight w:val="234"/>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8"/>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claims incurred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81,578</w:t>
            </w:r>
          </w:p>
        </w:tc>
        <w:tc>
          <w:tcPr>
            <w:tcW w:w="10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69,611</w:t>
            </w:r>
          </w:p>
        </w:tc>
      </w:tr>
      <w:tr>
        <w:trPr>
          <w:trHeight w:val="230"/>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Claims paid:</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r>
      <w:tr>
        <w:trPr>
          <w:trHeight w:val="234"/>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year</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(53,239)</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(39,332)</w:t>
            </w:r>
          </w:p>
        </w:tc>
      </w:tr>
      <w:tr>
        <w:trPr>
          <w:trHeight w:val="223"/>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claims paid</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(49,605)</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86,361</w:t>
            </w: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Metrics and Non-GAAP Financial Measures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Privia Health reviews a number of operating and financial metrics, including the following key metrics and non-GAAP financial measures, to evaluate the Company’s business, measure performance, identify trends affecting the Company’s business, formulate business plans, and make strategic decisions.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Key Metrics</w:t>
      </w:r>
      <w:r>
        <w:rPr>
          <w:rFonts w:ascii="Times New Roman" w:cs="Times New Roman" w:eastAsia="Times New Roman" w:hAnsi="Times New Roman"/>
          <w:sz w:val="25"/>
          <w:szCs w:val="25"/>
          <w:b w:val="1"/>
          <w:bCs w:val="1"/>
          <w:i w:val="1"/>
          <w:iCs w:val="1"/>
          <w:color w:val="auto"/>
          <w:vertAlign w:val="superscript"/>
        </w:rPr>
        <w:t>(j)</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millions)</w:t>
            </w:r>
          </w:p>
        </w:tc>
        <w:tc>
          <w:tcPr>
            <w:tcW w:w="5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Implemented Providers (as of end of period) </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5,535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w:t>
            </w:r>
          </w:p>
        </w:tc>
      </w:tr>
      <w:tr>
        <w:trPr>
          <w:trHeight w:val="216"/>
        </w:trPr>
        <w:tc>
          <w:tcPr>
            <w:tcW w:w="6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Attributed Lives (as of end of period) </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1,606,000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1,270,000</w:t>
            </w:r>
          </w:p>
        </w:tc>
      </w:tr>
      <w:tr>
        <w:trPr>
          <w:trHeight w:val="281"/>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Practice Collections </w:t>
            </w:r>
            <w:r>
              <w:rPr>
                <w:rFonts w:ascii="Times New Roman" w:cs="Times New Roman" w:eastAsia="Times New Roman" w:hAnsi="Times New Roman"/>
                <w:sz w:val="21"/>
                <w:szCs w:val="21"/>
                <w:color w:val="auto"/>
                <w:vertAlign w:val="superscript"/>
              </w:rPr>
              <w:t>(3)</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914.8</w:t>
            </w:r>
          </w:p>
        </w:tc>
        <w:tc>
          <w:tcPr>
            <w:tcW w:w="8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r>
    </w:tbl>
    <w:p>
      <w:pPr>
        <w:ind w:left="20" w:right="20" w:firstLine="6"/>
        <w:spacing w:after="0" w:line="235" w:lineRule="auto"/>
        <w:tabs>
          <w:tab w:leader="none" w:pos="169"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Implemented Providers is defined as the total of all service professionals at the end of a given period who are credentialed and bill for medical services in both Owned and Non-Owned Medical Groups during that period.</w:t>
      </w:r>
    </w:p>
    <w:p>
      <w:pPr>
        <w:spacing w:after="0" w:line="6" w:lineRule="exact"/>
        <w:rPr>
          <w:rFonts w:ascii="Times New Roman" w:cs="Times New Roman" w:eastAsia="Times New Roman" w:hAnsi="Times New Roman"/>
          <w:sz w:val="18"/>
          <w:szCs w:val="18"/>
          <w:color w:val="auto"/>
          <w:vertAlign w:val="superscript"/>
        </w:rPr>
      </w:pPr>
    </w:p>
    <w:p>
      <w:pPr>
        <w:ind w:left="20" w:right="40" w:firstLine="6"/>
        <w:spacing w:after="0" w:line="246" w:lineRule="auto"/>
        <w:tabs>
          <w:tab w:leader="none" w:pos="169"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Attributed Lives are defined as any patient that a payer deems attributed to Privia to deliver care as part of a value-based care arrangement through a provider of primary care or specialty services as of the end of a particular period.</w:t>
      </w:r>
    </w:p>
    <w:p>
      <w:pPr>
        <w:ind w:left="20" w:right="20" w:firstLine="6"/>
        <w:spacing w:after="0" w:line="210" w:lineRule="auto"/>
        <w:tabs>
          <w:tab w:leader="none" w:pos="19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Practice Collections are defined as the total collections from all practices in all markets and all sources of reimbursement that the Company receives for delivering care and providing Privia Health’s platform and associated services. Practice Collections differ from revenue by including collections from Non-Owned Medical Groups.</w:t>
      </w:r>
    </w:p>
    <w:p>
      <w:pPr>
        <w:ind w:left="160" w:hanging="134"/>
        <w:spacing w:after="0" w:line="214" w:lineRule="auto"/>
        <w:tabs>
          <w:tab w:leader="none" w:pos="16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Any slight variations in totals are due to rounding.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Non-GAAP Financial Measures </w:t>
      </w:r>
      <w:r>
        <w:rPr>
          <w:rFonts w:ascii="Times New Roman" w:cs="Times New Roman" w:eastAsia="Times New Roman" w:hAnsi="Times New Roman"/>
          <w:sz w:val="25"/>
          <w:szCs w:val="25"/>
          <w:b w:val="1"/>
          <w:bCs w:val="1"/>
          <w:i w:val="1"/>
          <w:iCs w:val="1"/>
          <w:color w:val="auto"/>
          <w:vertAlign w:val="superscript"/>
        </w:rPr>
        <w:t>(4)(k)</w:t>
      </w:r>
    </w:p>
    <w:p>
      <w:pPr>
        <w:spacing w:after="0" w:line="1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6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Care Margin</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128,730</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105,288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Platform Contribution</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67,033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51,733</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Platform Contribution Margin</w:t>
            </w:r>
          </w:p>
        </w:tc>
        <w:tc>
          <w:tcPr>
            <w:tcW w:w="50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49.1%</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36,691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26,915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50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25.6%</w:t>
            </w:r>
          </w:p>
        </w:tc>
      </w:tr>
    </w:tbl>
    <w:p>
      <w:pPr>
        <w:spacing w:after="0" w:line="60" w:lineRule="exact"/>
        <w:rPr>
          <w:sz w:val="20"/>
          <w:szCs w:val="20"/>
          <w:color w:val="auto"/>
        </w:rPr>
      </w:pPr>
    </w:p>
    <w:p>
      <w:pPr>
        <w:ind w:left="20" w:right="20" w:firstLine="6"/>
        <w:spacing w:after="0" w:line="223" w:lineRule="auto"/>
        <w:tabs>
          <w:tab w:leader="none" w:pos="16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addition to results reported in accordance with GAAP, Privia Health discloses Care Margin, Platform Contribution, Platform Contribution margin, Adjusted EBITDA and Adjusted EBITDA Margin, which are non-GAAP financial measures. Each are defined as follows:</w:t>
      </w:r>
    </w:p>
    <w:p>
      <w:pPr>
        <w:ind w:left="660" w:hanging="310"/>
        <w:spacing w:after="0" w:line="211" w:lineRule="auto"/>
        <w:tabs>
          <w:tab w:leader="none" w:pos="6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Care Margin is Gross Profit excluding amortization of intangible assets.</w:t>
      </w:r>
    </w:p>
    <w:p>
      <w:pPr>
        <w:ind w:left="680" w:right="20" w:hanging="330"/>
        <w:spacing w:after="0" w:line="211" w:lineRule="auto"/>
        <w:tabs>
          <w:tab w:leader="none" w:pos="669"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Platform Contribution is Gross Profit, excluding amortization of intangible assets, less Cost of platform and excluding stock-based compensation expense included in Cost of platform.</w:t>
      </w:r>
    </w:p>
    <w:p>
      <w:pPr>
        <w:ind w:left="660" w:hanging="310"/>
        <w:spacing w:after="0" w:line="211" w:lineRule="auto"/>
        <w:tabs>
          <w:tab w:leader="none" w:pos="6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Platform Contribution margin is Platform Contribution divided by Care Margin.</w:t>
      </w:r>
    </w:p>
    <w:p>
      <w:pPr>
        <w:jc w:val="both"/>
        <w:ind w:left="680" w:right="20" w:hanging="330"/>
        <w:spacing w:after="0" w:line="211" w:lineRule="auto"/>
        <w:tabs>
          <w:tab w:leader="none" w:pos="669"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net income before interest income, net, provision for income taxes, net income attributable to non-controlling interests, depreciation and amortization, stock-based compensation, employer taxes on equity vesting/exercises, severance charges, contingent and deferred consideration, and other non-recurring expenses.</w:t>
      </w:r>
    </w:p>
    <w:p>
      <w:pPr>
        <w:ind w:left="660" w:hanging="310"/>
        <w:spacing w:after="0"/>
        <w:tabs>
          <w:tab w:leader="none" w:pos="6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is Adjusted EBITDA divided by Care Margin.</w:t>
      </w:r>
    </w:p>
    <w:p>
      <w:pPr>
        <w:spacing w:after="0" w:line="6" w:lineRule="exact"/>
        <w:rPr>
          <w:sz w:val="20"/>
          <w:szCs w:val="20"/>
          <w:color w:val="auto"/>
        </w:rPr>
      </w:pPr>
    </w:p>
    <w:p>
      <w:pPr>
        <w:ind w:left="180" w:hanging="154"/>
        <w:spacing w:after="0"/>
        <w:tabs>
          <w:tab w:leader="none" w:pos="1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Any slight variations in totals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Gross Profit to Care Margin</w:t>
      </w:r>
      <w:r>
        <w:rPr>
          <w:rFonts w:ascii="Times New Roman" w:cs="Times New Roman" w:eastAsia="Times New Roman" w:hAnsi="Times New Roman"/>
          <w:sz w:val="25"/>
          <w:szCs w:val="25"/>
          <w:b w:val="1"/>
          <w:bCs w:val="1"/>
          <w:i w:val="1"/>
          <w:iCs w:val="1"/>
          <w:color w:val="auto"/>
          <w:vertAlign w:val="superscript"/>
        </w:rPr>
        <w:t>(l)</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603,847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480,097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Provider expense</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(475,117)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(374,809)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125,595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103,615</w:t>
            </w:r>
          </w:p>
        </w:tc>
      </w:tr>
      <w:tr>
        <w:trPr>
          <w:trHeight w:val="219"/>
        </w:trPr>
        <w:tc>
          <w:tcPr>
            <w:tcW w:w="6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 assets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r>
      <w:tr>
        <w:trPr>
          <w:trHeight w:val="21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Care Margin</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128,730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105,288</w:t>
            </w:r>
          </w:p>
        </w:tc>
      </w:tr>
    </w:tbl>
    <w:p>
      <w:pPr>
        <w:ind w:left="160" w:hanging="134"/>
        <w:spacing w:after="0" w:line="222" w:lineRule="auto"/>
        <w:tabs>
          <w:tab w:leader="none" w:pos="16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Any slight variations in totals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-123825</wp:posOffset>
            </wp:positionV>
            <wp:extent cx="2734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Gross Profit to Platform Contribution</w:t>
      </w:r>
      <w:r>
        <w:rPr>
          <w:rFonts w:ascii="Times New Roman" w:cs="Times New Roman" w:eastAsia="Times New Roman" w:hAnsi="Times New Roman"/>
          <w:sz w:val="25"/>
          <w:szCs w:val="25"/>
          <w:b w:val="1"/>
          <w:bCs w:val="1"/>
          <w:i w:val="1"/>
          <w:iCs w:val="1"/>
          <w:color w:val="auto"/>
          <w:vertAlign w:val="superscript"/>
        </w:rPr>
        <w:t>(m)</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603,847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480,097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Provider expense</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(475,117)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(374,809)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 assets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125,595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103,615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 assets</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r>
      <w:tr>
        <w:trPr>
          <w:trHeight w:val="211"/>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Cost of platform</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(68,420)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(59,526)</w:t>
            </w:r>
          </w:p>
        </w:tc>
      </w:tr>
      <w:tr>
        <w:trPr>
          <w:trHeight w:val="227"/>
        </w:trPr>
        <w:tc>
          <w:tcPr>
            <w:tcW w:w="69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(5)</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6,723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5,971</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Platform Contribution</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67,033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51,733</w:t>
            </w:r>
          </w:p>
        </w:tc>
      </w:tr>
    </w:tbl>
    <w:p>
      <w:pPr>
        <w:ind w:left="220" w:hanging="194"/>
        <w:spacing w:after="0" w:line="233" w:lineRule="auto"/>
        <w:tabs>
          <w:tab w:leader="none" w:pos="22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Any slight variations in totals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-123825</wp:posOffset>
            </wp:positionV>
            <wp:extent cx="2734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180" w:hanging="154"/>
        <w:spacing w:after="0" w:line="237" w:lineRule="auto"/>
        <w:tabs>
          <w:tab w:leader="none" w:pos="18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 represents stock-based compensation expense included in Cost of platform.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Net Income to Adjusted EBITDA</w:t>
      </w:r>
      <w:r>
        <w:rPr>
          <w:rFonts w:ascii="Times New Roman" w:cs="Times New Roman" w:eastAsia="Times New Roman" w:hAnsi="Times New Roman"/>
          <w:sz w:val="25"/>
          <w:szCs w:val="25"/>
          <w:b w:val="1"/>
          <w:bCs w:val="1"/>
          <w:i w:val="1"/>
          <w:iCs w:val="1"/>
          <w:color w:val="auto"/>
          <w:vertAlign w:val="superscript"/>
        </w:rPr>
        <w:t>(n)</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4,220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1,826</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2,103</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(2,931)</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1,901</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21,921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17,790</w:t>
            </w:r>
          </w:p>
        </w:tc>
      </w:tr>
      <w:tr>
        <w:trPr>
          <w:trHeight w:val="222"/>
        </w:trPr>
        <w:tc>
          <w:tcPr>
            <w:tcW w:w="692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1"/>
                <w:szCs w:val="21"/>
                <w:color w:val="auto"/>
                <w:vertAlign w:val="superscript"/>
              </w:rPr>
              <w:t>(6)</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4,067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2,006</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36,691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26,915</w:t>
            </w: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180" w:hanging="154"/>
        <w:spacing w:after="0"/>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Any slight variations in totals are due to rounding.</w:t>
      </w:r>
    </w:p>
    <w:p>
      <w:pPr>
        <w:ind w:left="180" w:hanging="154"/>
        <w:spacing w:after="0" w:line="237" w:lineRule="auto"/>
        <w:tabs>
          <w:tab w:leader="none" w:pos="1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expenses include employer taxes on equity vesting/exercises, severance, contingent and deferred consideration, and other non-recurring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Net Income to Adjusted Net Income and Adjusted Net Income Per Share</w:t>
      </w:r>
      <w:r>
        <w:rPr>
          <w:rFonts w:ascii="Times New Roman" w:cs="Times New Roman" w:eastAsia="Times New Roman" w:hAnsi="Times New Roman"/>
          <w:sz w:val="25"/>
          <w:szCs w:val="25"/>
          <w:b w:val="1"/>
          <w:bCs w:val="1"/>
          <w:i w:val="1"/>
          <w:iCs w:val="1"/>
          <w:color w:val="auto"/>
          <w:vertAlign w:val="superscript"/>
        </w:rPr>
        <w:t>(o)</w:t>
      </w:r>
    </w:p>
    <w:p>
      <w:pPr>
        <w:spacing w:after="0" w:line="25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5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3/31/2025 </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20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3,064</w:t>
            </w:r>
          </w:p>
        </w:tc>
        <w:tc>
          <w:tcPr>
            <w:tcW w:w="8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4,220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tcPr>
          <w:p>
            <w:pPr>
              <w:spacing w:after="0"/>
              <w:rPr>
                <w:sz w:val="18"/>
                <w:szCs w:val="18"/>
                <w:color w:val="auto"/>
              </w:rPr>
            </w:pP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21,921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17,790</w:t>
            </w:r>
          </w:p>
        </w:tc>
        <w:tc>
          <w:tcPr>
            <w:tcW w:w="0" w:type="dxa"/>
            <w:vAlign w:val="bottom"/>
          </w:tcPr>
          <w:p>
            <w:pPr>
              <w:spacing w:after="0"/>
              <w:rPr>
                <w:sz w:val="1"/>
                <w:szCs w:val="1"/>
                <w:color w:val="auto"/>
              </w:rPr>
            </w:pPr>
          </w:p>
        </w:tc>
      </w:tr>
      <w:tr>
        <w:trPr>
          <w:trHeight w:val="211"/>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520" w:type="dxa"/>
            <w:vAlign w:val="bottom"/>
          </w:tcPr>
          <w:p>
            <w:pPr>
              <w:spacing w:after="0"/>
              <w:rPr>
                <w:sz w:val="18"/>
                <w:szCs w:val="18"/>
                <w:color w:val="auto"/>
              </w:rPr>
            </w:pP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6"/>
        </w:trPr>
        <w:tc>
          <w:tcPr>
            <w:tcW w:w="6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1"/>
                <w:szCs w:val="21"/>
                <w:color w:val="auto"/>
                <w:vertAlign w:val="superscript"/>
              </w:rPr>
              <w:t>(7)</w:t>
            </w:r>
          </w:p>
        </w:tc>
        <w:tc>
          <w:tcPr>
            <w:tcW w:w="520" w:type="dxa"/>
            <w:vAlign w:val="bottom"/>
          </w:tcPr>
          <w:p>
            <w:pPr>
              <w:spacing w:after="0"/>
              <w:rPr>
                <w:sz w:val="18"/>
                <w:szCs w:val="18"/>
                <w:color w:val="auto"/>
              </w:rPr>
            </w:pP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2,006</w:t>
            </w:r>
          </w:p>
        </w:tc>
        <w:tc>
          <w:tcPr>
            <w:tcW w:w="0" w:type="dxa"/>
            <w:vAlign w:val="bottom"/>
          </w:tcPr>
          <w:p>
            <w:pPr>
              <w:spacing w:after="0"/>
              <w:rPr>
                <w:sz w:val="1"/>
                <w:szCs w:val="1"/>
                <w:color w:val="auto"/>
              </w:rPr>
            </w:pPr>
          </w:p>
        </w:tc>
      </w:tr>
      <w:tr>
        <w:trPr>
          <w:trHeight w:val="227"/>
        </w:trPr>
        <w:tc>
          <w:tcPr>
            <w:tcW w:w="68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Tax effect of adjustments</w:t>
            </w:r>
            <w:r>
              <w:rPr>
                <w:rFonts w:ascii="Times New Roman" w:cs="Times New Roman" w:eastAsia="Times New Roman" w:hAnsi="Times New Roman"/>
                <w:sz w:val="21"/>
                <w:szCs w:val="21"/>
                <w:color w:val="auto"/>
                <w:vertAlign w:val="superscript"/>
              </w:rPr>
              <w:t>(8)</w:t>
            </w:r>
          </w:p>
        </w:tc>
        <w:tc>
          <w:tcPr>
            <w:tcW w:w="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(7,863)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(5,796)</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24,324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19,893</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 per share attributable to Privia Health Group, Inc. stockholders – basic</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 per share attributable to Privia Health Group, Inc. stockholders – diluted</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124,152,526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120,623,670</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130,878,939</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127,752,527</w:t>
            </w:r>
          </w:p>
        </w:tc>
        <w:tc>
          <w:tcPr>
            <w:tcW w:w="0" w:type="dxa"/>
            <w:vAlign w:val="bottom"/>
          </w:tcPr>
          <w:p>
            <w:pPr>
              <w:spacing w:after="0"/>
              <w:rPr>
                <w:sz w:val="1"/>
                <w:szCs w:val="1"/>
                <w:color w:val="auto"/>
              </w:rPr>
            </w:pPr>
          </w:p>
        </w:tc>
      </w:tr>
      <w:tr>
        <w:trPr>
          <w:trHeight w:val="21"/>
        </w:trPr>
        <w:tc>
          <w:tcPr>
            <w:tcW w:w="6840" w:type="dxa"/>
            <w:vAlign w:val="bottom"/>
            <w:vMerge w:val="restart"/>
          </w:tcPr>
          <w:p>
            <w:pPr>
              <w:spacing w:after="0" w:line="224" w:lineRule="exact"/>
              <w:rPr>
                <w:sz w:val="20"/>
                <w:szCs w:val="20"/>
                <w:color w:val="auto"/>
              </w:rPr>
            </w:pPr>
            <w:r>
              <w:rPr>
                <w:rFonts w:ascii="Times New Roman" w:cs="Times New Roman" w:eastAsia="Times New Roman" w:hAnsi="Times New Roman"/>
                <w:sz w:val="21"/>
                <w:szCs w:val="21"/>
                <w:color w:val="auto"/>
                <w:vertAlign w:val="superscript"/>
              </w:rPr>
              <w:t>(o)</w:t>
            </w:r>
            <w:r>
              <w:rPr>
                <w:rFonts w:ascii="Times New Roman" w:cs="Times New Roman" w:eastAsia="Times New Roman" w:hAnsi="Times New Roman"/>
                <w:sz w:val="16"/>
                <w:szCs w:val="16"/>
                <w:color w:val="auto"/>
              </w:rPr>
              <w:t xml:space="preserve"> Any slight variations in totals due to rounding.</w:t>
            </w: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0" w:hanging="154"/>
        <w:spacing w:after="0" w:line="229" w:lineRule="auto"/>
        <w:tabs>
          <w:tab w:leader="none" w:pos="1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expenses include employer taxes on equity vesting/exercises, severance, contingent and deferred consideration, and other non-recurring expenses.</w:t>
      </w:r>
    </w:p>
    <w:p>
      <w:pPr>
        <w:spacing w:after="0" w:line="24"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uses a statutory blended tax rate of 27% on the adjustments between Net Income and Adjusted Net Income.</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Updated to conform with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endash "/>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3"/>
    </w:lvl>
  </w:abstractNum>
  <w:abstractNum w:abstractNumId="6">
    <w:nsid w:val="109CF92E"/>
    <w:multiLevelType w:val="hybridMultilevel"/>
    <w:lvl w:ilvl="0">
      <w:lvlJc w:val="left"/>
      <w:lvlText w:val="%1."/>
      <w:numFmt w:val="lowerLetter"/>
      <w:start w:val="3"/>
    </w:lvl>
    <w:lvl w:ilvl="1">
      <w:lvlJc w:val="left"/>
      <w:lvlText w:val="•"/>
      <w:numFmt w:val="bullet"/>
      <w:start w:val="1"/>
    </w:lvl>
  </w:abstractNum>
  <w:abstractNum w:abstractNumId="7">
    <w:nsid w:val="DED7263"/>
    <w:multiLevelType w:val="hybridMultilevel"/>
    <w:lvl w:ilvl="0">
      <w:lvlJc w:val="left"/>
      <w:lvlText w:val="(%1)"/>
      <w:numFmt w:val="lowerLetter"/>
      <w:start w:val="7"/>
    </w:lvl>
  </w:abstractNum>
  <w:abstractNum w:abstractNumId="8">
    <w:nsid w:val="7FDCC233"/>
    <w:multiLevelType w:val="hybridMultilevel"/>
    <w:lvl w:ilvl="0">
      <w:lvlJc w:val="left"/>
      <w:lvlText w:val="(%1)"/>
      <w:numFmt w:val="lowerLetter"/>
      <w:start w:val="8"/>
    </w:lvl>
  </w:abstractNum>
  <w:abstractNum w:abstractNumId="9">
    <w:nsid w:val="1BEFD79F"/>
    <w:multiLevelType w:val="hybridMultilevel"/>
    <w:lvl w:ilvl="0">
      <w:lvlJc w:val="left"/>
      <w:lvlText w:val="(%1)"/>
      <w:numFmt w:val="lowerRoman"/>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0"/>
    </w:lvl>
  </w:abstractNum>
  <w:abstractNum w:abstractNumId="12">
    <w:nsid w:val="4E6AFB66"/>
    <w:multiLevelType w:val="hybridMultilevel"/>
    <w:lvl w:ilvl="0">
      <w:lvlJc w:val="left"/>
      <w:lvlText w:val="(%1)"/>
      <w:numFmt w:val="decimal"/>
      <w:start w:val="4"/>
    </w:lvl>
    <w:lvl w:ilvl="1">
      <w:lvlJc w:val="left"/>
      <w:lvlText w:val="•"/>
      <w:numFmt w:val="bullet"/>
      <w:start w:val="1"/>
    </w:lvl>
  </w:abstractNum>
  <w:abstractNum w:abstractNumId="13">
    <w:nsid w:val="25E45D32"/>
    <w:multiLevelType w:val="hybridMultilevel"/>
    <w:lvl w:ilvl="0">
      <w:lvlJc w:val="left"/>
      <w:lvlText w:val="(%1)"/>
      <w:numFmt w:val="lowerLetter"/>
      <w:start w:val="11"/>
    </w:lvl>
  </w:abstractNum>
  <w:abstractNum w:abstractNumId="14">
    <w:nsid w:val="519B500D"/>
    <w:multiLevelType w:val="hybridMultilevel"/>
    <w:lvl w:ilvl="0">
      <w:lvlJc w:val="left"/>
      <w:lvlText w:val="(%1)"/>
      <w:numFmt w:val="lowerLetter"/>
      <w:start w:val="12"/>
    </w:lvl>
  </w:abstractNum>
  <w:abstractNum w:abstractNumId="15">
    <w:nsid w:val="431BD7B7"/>
    <w:multiLevelType w:val="hybridMultilevel"/>
    <w:lvl w:ilvl="0">
      <w:lvlJc w:val="left"/>
      <w:lvlText w:val="(%1)"/>
      <w:numFmt w:val="lowerLetter"/>
      <w:start w:val="13"/>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4"/>
    </w:lvl>
  </w:abstractNum>
  <w:abstractNum w:abstractNumId="18">
    <w:nsid w:val="257130A3"/>
    <w:multiLevelType w:val="hybridMultilevel"/>
    <w:lvl w:ilvl="0">
      <w:lvlJc w:val="left"/>
      <w:lvlText w:val="(%1)"/>
      <w:numFmt w:val="decimal"/>
      <w:start w:val="6"/>
    </w:lvl>
  </w:abstractNum>
  <w:abstractNum w:abstractNumId="19">
    <w:nsid w:val="62BBD9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2026-05-07T05:26:36Z</dcterms:created>
  <dcterms:modified xsi:type="dcterms:W3CDTF">2026-05-07T05:26:36Z</dcterms:modified>
</cp:coreProperties>
</file>