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8662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866203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7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Mountcastle David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PRIVIA HEALTH GROUP,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950 N. GLEBE RD., SUITE 700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Privia Health Group,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PRVA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517"/>
        <w:spacing w:after="0"/>
        <w:rPr>
          <w:sz w:val="20"/>
          <w:szCs w:val="20"/>
          <w:color w:val="auto"/>
        </w:rPr>
      </w:pPr>
      <w:r>
        <w:rPr>
          <w:rFonts w:ascii="Times New Roman" w:cs="Times New Roman" w:eastAsia="Times New Roman" w:hAnsi="Times New Roman"/>
          <w:sz w:val="17"/>
          <w:szCs w:val="17"/>
          <w:color w:val="0000FF"/>
        </w:rPr>
        <w:t>EVP &amp; Chief Financial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75"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ARLINGTON   VA</w:t>
            </w:r>
          </w:p>
        </w:tc>
        <w:tc>
          <w:tcPr>
            <w:tcW w:w="980" w:type="dxa"/>
            <w:vAlign w:val="bottom"/>
          </w:tcPr>
          <w:p>
            <w:pPr>
              <w:spacing w:after="0"/>
              <w:rPr>
                <w:sz w:val="10"/>
                <w:szCs w:val="10"/>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22203</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w w:val="95"/>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05/01/2026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7,179</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222,026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05/01/2026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7,179</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25.03</w:t>
            </w:r>
            <w:r>
              <w:rPr>
                <w:rFonts w:ascii="Times New Roman" w:cs="Times New Roman" w:eastAsia="Times New Roman" w:hAnsi="Times New Roman"/>
                <w:sz w:val="21"/>
                <w:szCs w:val="21"/>
                <w:color w:val="008000"/>
                <w:w w:val="9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214,847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05/04/2026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1,206</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216,053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05/04/2026</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1,206</w:t>
            </w:r>
          </w:p>
        </w:tc>
        <w:tc>
          <w:tcPr>
            <w:tcW w:w="6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214,847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8,695</w:t>
            </w:r>
          </w:p>
        </w:tc>
        <w:tc>
          <w:tcPr>
            <w:tcW w:w="280" w:type="dxa"/>
            <w:vAlign w:val="bottom"/>
          </w:tcPr>
          <w:p>
            <w:pPr>
              <w:spacing w:after="0"/>
              <w:rPr>
                <w:sz w:val="21"/>
                <w:szCs w:val="21"/>
                <w:color w:val="auto"/>
              </w:rPr>
            </w:pPr>
          </w:p>
        </w:tc>
        <w:tc>
          <w:tcPr>
            <w:tcW w:w="68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80" w:type="dxa"/>
            <w:vAlign w:val="bottom"/>
            <w:gridSpan w:val="5"/>
            <w:vMerge w:val="continue"/>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760" w:type="dxa"/>
            <w:vAlign w:val="bottom"/>
            <w:tcBorders>
              <w:bottom w:val="single" w:sz="8" w:color="2C2C2C"/>
            </w:tcBorders>
            <w:gridSpan w:val="8"/>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4"/>
          </w:tcPr>
          <w:p>
            <w:pPr>
              <w:jc w:val="center"/>
              <w:ind w:left="73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10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jc w:val="center"/>
              <w:ind w:right="14"/>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jc w:val="center"/>
              <w:ind w:right="14"/>
              <w:spacing w:after="0" w:line="130"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20"/>
              <w:spacing w:after="0" w:line="22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1,297</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9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05/01/2026</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rPr>
              <w:t>1,297</w:t>
            </w:r>
          </w:p>
        </w:tc>
        <w:tc>
          <w:tcPr>
            <w:tcW w:w="800" w:type="dxa"/>
            <w:vAlign w:val="bottom"/>
            <w:gridSpan w:val="2"/>
            <w:vMerge w:val="continue"/>
          </w:tcPr>
          <w:p>
            <w:pPr>
              <w:spacing w:after="0"/>
              <w:rPr>
                <w:sz w:val="5"/>
                <w:szCs w:val="5"/>
                <w:color w:val="auto"/>
              </w:rPr>
            </w:pPr>
          </w:p>
        </w:tc>
        <w:tc>
          <w:tcPr>
            <w:tcW w:w="68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12/03/2029</w:t>
            </w: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par value</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1,538</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$0.01 per</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20"/>
              <w:spacing w:after="0" w:line="22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jc w:val="right"/>
              <w:ind w:right="107"/>
              <w:spacing w:after="0"/>
              <w:rPr>
                <w:sz w:val="20"/>
                <w:szCs w:val="20"/>
                <w:color w:val="auto"/>
              </w:rPr>
            </w:pPr>
            <w:r>
              <w:rPr>
                <w:rFonts w:ascii="Times New Roman" w:cs="Times New Roman" w:eastAsia="Times New Roman" w:hAnsi="Times New Roman"/>
                <w:sz w:val="17"/>
                <w:szCs w:val="17"/>
                <w:color w:val="0000FF"/>
              </w:rPr>
              <w:t>541</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9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05/01/2026</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w w:val="92"/>
              </w:rPr>
              <w:t>541</w:t>
            </w:r>
          </w:p>
        </w:tc>
        <w:tc>
          <w:tcPr>
            <w:tcW w:w="800" w:type="dxa"/>
            <w:vAlign w:val="bottom"/>
            <w:gridSpan w:val="2"/>
            <w:vMerge w:val="continue"/>
          </w:tcPr>
          <w:p>
            <w:pPr>
              <w:spacing w:after="0"/>
              <w:rPr>
                <w:sz w:val="5"/>
                <w:szCs w:val="5"/>
                <w:color w:val="auto"/>
              </w:rPr>
            </w:pPr>
          </w:p>
        </w:tc>
        <w:tc>
          <w:tcPr>
            <w:tcW w:w="68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09/07/2030</w:t>
            </w: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par value</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1,053</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$0.01 per</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20"/>
              <w:spacing w:after="0" w:line="22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3,010</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9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05/01/2026</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rPr>
              <w:t>3,010</w:t>
            </w:r>
          </w:p>
        </w:tc>
        <w:tc>
          <w:tcPr>
            <w:tcW w:w="800" w:type="dxa"/>
            <w:vAlign w:val="bottom"/>
            <w:gridSpan w:val="2"/>
            <w:vMerge w:val="continue"/>
          </w:tcPr>
          <w:p>
            <w:pPr>
              <w:spacing w:after="0"/>
              <w:rPr>
                <w:sz w:val="5"/>
                <w:szCs w:val="5"/>
                <w:color w:val="auto"/>
              </w:rPr>
            </w:pPr>
          </w:p>
        </w:tc>
        <w:tc>
          <w:tcPr>
            <w:tcW w:w="68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08/27/2028</w:t>
            </w: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par value</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9,489</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$0.01 per</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20"/>
              <w:spacing w:after="0" w:line="22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2,331</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9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05/01/2026</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jc w:val="center"/>
              <w:ind w:left="220"/>
              <w:spacing w:after="0" w:line="143" w:lineRule="exact"/>
              <w:rPr>
                <w:sz w:val="20"/>
                <w:szCs w:val="20"/>
                <w:color w:val="auto"/>
              </w:rPr>
            </w:pPr>
            <w:r>
              <w:rPr>
                <w:rFonts w:ascii="Times New Roman" w:cs="Times New Roman" w:eastAsia="Times New Roman" w:hAnsi="Times New Roman"/>
                <w:sz w:val="13"/>
                <w:szCs w:val="13"/>
                <w:color w:val="0000FF"/>
              </w:rPr>
              <w:t>2,331</w:t>
            </w:r>
          </w:p>
        </w:tc>
        <w:tc>
          <w:tcPr>
            <w:tcW w:w="800" w:type="dxa"/>
            <w:vAlign w:val="bottom"/>
            <w:gridSpan w:val="2"/>
            <w:vMerge w:val="continue"/>
          </w:tcPr>
          <w:p>
            <w:pPr>
              <w:spacing w:after="0"/>
              <w:rPr>
                <w:sz w:val="5"/>
                <w:szCs w:val="5"/>
                <w:color w:val="auto"/>
              </w:rPr>
            </w:pPr>
          </w:p>
        </w:tc>
        <w:tc>
          <w:tcPr>
            <w:tcW w:w="68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03/20/2029</w:t>
            </w: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9"/>
              </w:rPr>
              <w:t>par value</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6,322</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$0.01 per</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jc w:val="right"/>
              <w:ind w:right="107"/>
              <w:spacing w:after="0"/>
              <w:rPr>
                <w:sz w:val="20"/>
                <w:szCs w:val="20"/>
                <w:color w:val="auto"/>
              </w:rPr>
            </w:pPr>
            <w:r>
              <w:rPr>
                <w:rFonts w:ascii="Times New Roman" w:cs="Times New Roman" w:eastAsia="Times New Roman" w:hAnsi="Times New Roman"/>
                <w:sz w:val="17"/>
                <w:szCs w:val="17"/>
                <w:color w:val="0000FF"/>
              </w:rPr>
              <w:t>202</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05/04/2026</w:t>
            </w: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jc w:val="center"/>
              <w:ind w:left="220"/>
              <w:spacing w:after="0"/>
              <w:rPr>
                <w:sz w:val="20"/>
                <w:szCs w:val="20"/>
                <w:color w:val="auto"/>
              </w:rPr>
            </w:pPr>
            <w:r>
              <w:rPr>
                <w:rFonts w:ascii="Times New Roman" w:cs="Times New Roman" w:eastAsia="Times New Roman" w:hAnsi="Times New Roman"/>
                <w:sz w:val="13"/>
                <w:szCs w:val="13"/>
                <w:color w:val="0000FF"/>
                <w:w w:val="92"/>
              </w:rPr>
              <w:t>202</w:t>
            </w:r>
          </w:p>
        </w:tc>
        <w:tc>
          <w:tcPr>
            <w:tcW w:w="800" w:type="dxa"/>
            <w:vAlign w:val="bottom"/>
            <w:gridSpan w:val="2"/>
            <w:vMerge w:val="continue"/>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12/03/2029</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par value</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jc w:val="center"/>
              <w:ind w:right="194"/>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1,336</w:t>
            </w:r>
          </w:p>
        </w:tc>
        <w:tc>
          <w:tcPr>
            <w:tcW w:w="280" w:type="dxa"/>
            <w:vAlign w:val="bottom"/>
          </w:tcPr>
          <w:p>
            <w:pPr>
              <w:spacing w:after="0"/>
              <w:rPr>
                <w:sz w:val="5"/>
                <w:szCs w:val="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8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-4233545</wp:posOffset>
            </wp:positionV>
            <wp:extent cx="29210" cy="4819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481965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29"/>
        </w:trPr>
        <w:tc>
          <w:tcPr>
            <w:tcW w:w="3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360" w:type="dxa"/>
            <w:vAlign w:val="bottom"/>
          </w:tcPr>
          <w:p>
            <w:pPr>
              <w:jc w:val="center"/>
              <w:ind w:right="595"/>
              <w:spacing w:after="0" w:line="129" w:lineRule="exact"/>
              <w:rPr>
                <w:sz w:val="20"/>
                <w:szCs w:val="20"/>
                <w:color w:val="auto"/>
              </w:rPr>
            </w:pPr>
            <w:r>
              <w:rPr>
                <w:rFonts w:ascii="Times New Roman" w:cs="Times New Roman" w:eastAsia="Times New Roman" w:hAnsi="Times New Roman"/>
                <w:sz w:val="13"/>
                <w:szCs w:val="13"/>
                <w:color w:val="0000FF"/>
              </w:rPr>
              <w:t>$0.01 per</w:t>
            </w:r>
          </w:p>
        </w:tc>
        <w:tc>
          <w:tcPr>
            <w:tcW w:w="0" w:type="dxa"/>
            <w:vAlign w:val="bottom"/>
          </w:tcPr>
          <w:p>
            <w:pPr>
              <w:spacing w:after="0"/>
              <w:rPr>
                <w:sz w:val="1"/>
                <w:szCs w:val="1"/>
                <w:color w:val="auto"/>
              </w:rPr>
            </w:pPr>
          </w:p>
        </w:tc>
      </w:tr>
      <w:tr>
        <w:trPr>
          <w:trHeight w:val="90"/>
        </w:trPr>
        <w:tc>
          <w:tcPr>
            <w:tcW w:w="3680" w:type="dxa"/>
            <w:vAlign w:val="bottom"/>
            <w:vMerge w:val="continue"/>
          </w:tcPr>
          <w:p>
            <w:pPr>
              <w:spacing w:after="0"/>
              <w:rPr>
                <w:sz w:val="7"/>
                <w:szCs w:val="7"/>
                <w:color w:val="auto"/>
              </w:rPr>
            </w:pPr>
          </w:p>
        </w:tc>
        <w:tc>
          <w:tcPr>
            <w:tcW w:w="7360" w:type="dxa"/>
            <w:vAlign w:val="bottom"/>
            <w:vMerge w:val="restart"/>
          </w:tcPr>
          <w:p>
            <w:pPr>
              <w:jc w:val="center"/>
              <w:ind w:right="575"/>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r>
        <w:trPr>
          <w:trHeight w:val="78"/>
        </w:trPr>
        <w:tc>
          <w:tcPr>
            <w:tcW w:w="3680" w:type="dxa"/>
            <w:vAlign w:val="bottom"/>
          </w:tcPr>
          <w:p>
            <w:pPr>
              <w:spacing w:after="0"/>
              <w:rPr>
                <w:sz w:val="6"/>
                <w:szCs w:val="6"/>
                <w:color w:val="auto"/>
              </w:rPr>
            </w:pPr>
          </w:p>
        </w:tc>
        <w:tc>
          <w:tcPr>
            <w:tcW w:w="7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3680" w:type="dxa"/>
            <w:vAlign w:val="bottom"/>
            <w:tcBorders>
              <w:bottom w:val="single" w:sz="8" w:color="808080"/>
            </w:tcBorders>
          </w:tcPr>
          <w:p>
            <w:pPr>
              <w:spacing w:after="0"/>
              <w:rPr>
                <w:sz w:val="3"/>
                <w:szCs w:val="3"/>
                <w:color w:val="auto"/>
              </w:rPr>
            </w:pPr>
          </w:p>
        </w:tc>
        <w:tc>
          <w:tcPr>
            <w:tcW w:w="73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6" w:right="359" w:bottom="17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33604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5960" cy="3360420"/>
                    </a:xfrm>
                    <a:prstGeom prst="rect">
                      <a:avLst/>
                    </a:prstGeom>
                    <a:noFill/>
                  </pic:spPr>
                </pic:pic>
              </a:graphicData>
            </a:graphic>
          </wp:anchor>
        </w:drawing>
        <w:t>Table II - Derivative Securities Acquired, Disposed of, or Beneficially Owned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restart"/>
          </w:tcPr>
          <w:p>
            <w:pPr>
              <w:ind w:left="100"/>
              <w:spacing w:after="0" w:line="22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52</w:t>
            </w: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05/04/2026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restart"/>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rPr>
              <w:t>52</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09/07/2030</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1,001</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$0.01 per</w:t>
            </w: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restart"/>
          </w:tcPr>
          <w:p>
            <w:pPr>
              <w:ind w:left="100"/>
              <w:spacing w:after="0" w:line="22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592</w:t>
            </w: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10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05/04/2026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restart"/>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w w:val="92"/>
              </w:rPr>
              <w:t>592</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08/27/2028</w:t>
            </w:r>
          </w:p>
        </w:tc>
        <w:tc>
          <w:tcPr>
            <w:tcW w:w="6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8,897</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$0.01 per</w:t>
            </w: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share</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360</w:t>
            </w: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05/04/2026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restart"/>
          </w:tcPr>
          <w:p>
            <w:pPr>
              <w:jc w:val="center"/>
              <w:ind w:left="260"/>
              <w:spacing w:after="0"/>
              <w:rPr>
                <w:sz w:val="20"/>
                <w:szCs w:val="20"/>
                <w:color w:val="auto"/>
              </w:rPr>
            </w:pPr>
            <w:r>
              <w:rPr>
                <w:rFonts w:ascii="Times New Roman" w:cs="Times New Roman" w:eastAsia="Times New Roman" w:hAnsi="Times New Roman"/>
                <w:sz w:val="13"/>
                <w:szCs w:val="13"/>
                <w:color w:val="0000FF"/>
                <w:w w:val="92"/>
              </w:rPr>
              <w:t>360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03/20/2029</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5,962</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29"/>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Purchase)</w:t>
            </w:r>
          </w:p>
        </w:tc>
        <w:tc>
          <w:tcPr>
            <w:tcW w:w="3600" w:type="dxa"/>
            <w:vAlign w:val="bottom"/>
          </w:tcPr>
          <w:p>
            <w:pPr>
              <w:jc w:val="center"/>
              <w:ind w:left="3035"/>
              <w:spacing w:after="0" w:line="129" w:lineRule="exact"/>
              <w:rPr>
                <w:sz w:val="20"/>
                <w:szCs w:val="20"/>
                <w:color w:val="auto"/>
              </w:rPr>
            </w:pPr>
            <w:r>
              <w:rPr>
                <w:rFonts w:ascii="Times New Roman" w:cs="Times New Roman" w:eastAsia="Times New Roman" w:hAnsi="Times New Roman"/>
                <w:sz w:val="13"/>
                <w:szCs w:val="13"/>
                <w:color w:val="0000FF"/>
              </w:rPr>
              <w:t>$0.01 per</w:t>
            </w:r>
          </w:p>
        </w:tc>
        <w:tc>
          <w:tcPr>
            <w:tcW w:w="0" w:type="dxa"/>
            <w:vAlign w:val="bottom"/>
          </w:tcPr>
          <w:p>
            <w:pPr>
              <w:spacing w:after="0"/>
              <w:rPr>
                <w:sz w:val="1"/>
                <w:szCs w:val="1"/>
                <w:color w:val="auto"/>
              </w:rPr>
            </w:pPr>
          </w:p>
        </w:tc>
      </w:tr>
      <w:tr>
        <w:trPr>
          <w:trHeight w:val="90"/>
        </w:trPr>
        <w:tc>
          <w:tcPr>
            <w:tcW w:w="3620" w:type="dxa"/>
            <w:vAlign w:val="bottom"/>
            <w:vMerge w:val="continue"/>
          </w:tcPr>
          <w:p>
            <w:pPr>
              <w:spacing w:after="0"/>
              <w:rPr>
                <w:sz w:val="7"/>
                <w:szCs w:val="7"/>
                <w:color w:val="auto"/>
              </w:rPr>
            </w:pPr>
          </w:p>
        </w:tc>
        <w:tc>
          <w:tcPr>
            <w:tcW w:w="3600" w:type="dxa"/>
            <w:vAlign w:val="bottom"/>
            <w:vMerge w:val="restart"/>
          </w:tcPr>
          <w:p>
            <w:pPr>
              <w:jc w:val="center"/>
              <w:ind w:left="3055"/>
              <w:spacing w:after="0"/>
              <w:rPr>
                <w:sz w:val="20"/>
                <w:szCs w:val="20"/>
                <w:color w:val="auto"/>
              </w:rPr>
            </w:pPr>
            <w:r>
              <w:rPr>
                <w:rFonts w:ascii="Times New Roman" w:cs="Times New Roman" w:eastAsia="Times New Roman" w:hAnsi="Times New Roman"/>
                <w:sz w:val="13"/>
                <w:szCs w:val="13"/>
                <w:color w:val="0000FF"/>
              </w:rPr>
              <w:t>share</w:t>
            </w:r>
          </w:p>
        </w:tc>
        <w:tc>
          <w:tcPr>
            <w:tcW w:w="0" w:type="dxa"/>
            <w:vAlign w:val="bottom"/>
          </w:tcPr>
          <w:p>
            <w:pPr>
              <w:spacing w:after="0"/>
              <w:rPr>
                <w:sz w:val="1"/>
                <w:szCs w:val="1"/>
                <w:color w:val="auto"/>
              </w:rPr>
            </w:pPr>
          </w:p>
        </w:tc>
      </w:tr>
      <w:tr>
        <w:trPr>
          <w:trHeight w:val="78"/>
        </w:trPr>
        <w:tc>
          <w:tcPr>
            <w:tcW w:w="3620" w:type="dxa"/>
            <w:vAlign w:val="bottom"/>
          </w:tcPr>
          <w:p>
            <w:pPr>
              <w:spacing w:after="0"/>
              <w:rPr>
                <w:sz w:val="6"/>
                <w:szCs w:val="6"/>
                <w:color w:val="auto"/>
              </w:rPr>
            </w:pPr>
          </w:p>
        </w:tc>
        <w:tc>
          <w:tcPr>
            <w:tcW w:w="3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previously adopted by the Reporting Person.</w:t>
      </w:r>
    </w:p>
    <w:p>
      <w:pPr>
        <w:spacing w:after="0" w:line="45" w:lineRule="exact"/>
        <w:rPr>
          <w:rFonts w:ascii="Times New Roman" w:cs="Times New Roman" w:eastAsia="Times New Roman" w:hAnsi="Times New Roman"/>
          <w:sz w:val="13"/>
          <w:szCs w:val="13"/>
          <w:color w:val="008000"/>
        </w:rPr>
      </w:pPr>
    </w:p>
    <w:p>
      <w:pPr>
        <w:jc w:val="both"/>
        <w:ind w:left="20" w:right="320" w:firstLine="3"/>
        <w:spacing w:after="0" w:line="243" w:lineRule="auto"/>
        <w:tabs>
          <w:tab w:leader="none" w:pos="15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$25.00 to $25.20 per share. The reporting person undertakes to provide to Privia Health Group, Inc., any security holder of Privia Health Group, Inc. or the staff of the Securities and Exchange Commission, upon request, full information regarding the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60" w:hanging="137"/>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stock options are fully vested and exercisable.</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05/05/2026</w:t>
            </w:r>
          </w:p>
        </w:tc>
        <w:tc>
          <w:tcPr>
            <w:tcW w:w="0" w:type="dxa"/>
            <w:vAlign w:val="bottom"/>
          </w:tcPr>
          <w:p>
            <w:pPr>
              <w:spacing w:after="0"/>
              <w:rPr>
                <w:sz w:val="1"/>
                <w:szCs w:val="1"/>
                <w:color w:val="auto"/>
              </w:rPr>
            </w:pPr>
          </w:p>
        </w:tc>
      </w:tr>
      <w:tr>
        <w:trPr>
          <w:trHeight w:val="84"/>
        </w:trPr>
        <w:tc>
          <w:tcPr>
            <w:tcW w:w="10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attorney-in-fact</w:t>
            </w:r>
          </w:p>
        </w:tc>
        <w:tc>
          <w:tcPr>
            <w:tcW w:w="62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0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520" w:firstLine="3"/>
        <w:spacing w:after="0" w:line="338" w:lineRule="auto"/>
        <w:tabs>
          <w:tab w:leader="none" w:pos="15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58396"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2026-05-05T19:09:28Z</dcterms:created>
  <dcterms:modified xsi:type="dcterms:W3CDTF">2026-05-05T19:09:28Z</dcterms:modified>
</cp:coreProperties>
</file>