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0001858396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Privia Health Group,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001-40365</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950 N. GLEBE RD., SUITE 700</w:t>
              <w:br/>
              <w:t>ARLINGTON</w:t>
              <w:br/>
              <w:t xml:space="preserve">VIRGINIA </w:t>
              <w:br/>
              <w:t>22203</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571-366-8850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Mountcastle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21275</w:t>
            </w:r>
          </w:p>
        </w:tc>
        <w:tc>
          <w:tcPr>
            <w:tcW w:w="1377" w:type="dxa"/>
            <w:tcBorders/>
            <w:vAlign w:val="center"/>
          </w:tcPr>
          <w:p>
            <w:pPr>
              <w:pStyle w:val="TableContents"/>
              <w:bidi w:val="0"/>
              <w:spacing w:before="0" w:after="283"/>
              <w:jc w:val="left"/>
              <w:rPr/>
            </w:pPr>
            <w:r>
              <w:rPr/>
              <w:t>588602.61</w:t>
            </w:r>
          </w:p>
        </w:tc>
        <w:tc>
          <w:tcPr>
            <w:tcW w:w="1552" w:type="dxa"/>
            <w:tcBorders/>
            <w:vAlign w:val="center"/>
          </w:tcPr>
          <w:p>
            <w:pPr>
              <w:pStyle w:val="TableContents"/>
              <w:bidi w:val="0"/>
              <w:spacing w:before="0" w:after="283"/>
              <w:jc w:val="left"/>
              <w:rPr/>
            </w:pPr>
            <w:r>
              <w:rPr/>
              <w:t>126012374</w:t>
            </w:r>
          </w:p>
        </w:tc>
        <w:tc>
          <w:tcPr>
            <w:tcW w:w="1567" w:type="dxa"/>
            <w:tcBorders/>
            <w:vAlign w:val="center"/>
          </w:tcPr>
          <w:p>
            <w:pPr>
              <w:pStyle w:val="TableContents"/>
              <w:bidi w:val="0"/>
              <w:spacing w:before="0" w:after="283"/>
              <w:jc w:val="left"/>
              <w:rPr/>
            </w:pPr>
            <w:r>
              <w:rPr/>
              <w:t>07/09/2026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5842</w:t>
            </w:r>
          </w:p>
        </w:tc>
        <w:tc>
          <w:tcPr>
            <w:tcW w:w="1046" w:type="dxa"/>
            <w:tcBorders/>
            <w:vAlign w:val="center"/>
          </w:tcPr>
          <w:p>
            <w:pPr>
              <w:pStyle w:val="TableContents"/>
              <w:bidi w:val="0"/>
              <w:spacing w:before="0" w:after="283"/>
              <w:jc w:val="left"/>
              <w:rPr/>
            </w:pPr>
            <w:r>
              <w:rPr/>
              <w:t>03/11/2026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7630</w:t>
            </w:r>
          </w:p>
        </w:tc>
        <w:tc>
          <w:tcPr>
            <w:tcW w:w="1046" w:type="dxa"/>
            <w:tcBorders/>
            <w:vAlign w:val="center"/>
          </w:tcPr>
          <w:p>
            <w:pPr>
              <w:pStyle w:val="TableContents"/>
              <w:bidi w:val="0"/>
              <w:spacing w:before="0" w:after="283"/>
              <w:jc w:val="left"/>
              <w:rPr/>
            </w:pPr>
            <w:r>
              <w:rPr/>
              <w:t>03/12/2026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7803</w:t>
            </w:r>
          </w:p>
        </w:tc>
        <w:tc>
          <w:tcPr>
            <w:tcW w:w="1046" w:type="dxa"/>
            <w:tcBorders/>
            <w:vAlign w:val="center"/>
          </w:tcPr>
          <w:p>
            <w:pPr>
              <w:pStyle w:val="TableContents"/>
              <w:bidi w:val="0"/>
              <w:spacing w:before="0" w:after="283"/>
              <w:jc w:val="left"/>
              <w:rPr/>
            </w:pPr>
            <w:r>
              <w:rPr/>
              <w:t>03/13/2026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05/01/2026</w:t>
            </w:r>
          </w:p>
        </w:tc>
        <w:tc>
          <w:tcPr>
            <w:tcW w:w="1554" w:type="dxa"/>
            <w:tcBorders/>
            <w:vAlign w:val="center"/>
          </w:tcPr>
          <w:p>
            <w:pPr>
              <w:pStyle w:val="TableContents"/>
              <w:bidi w:val="0"/>
              <w:spacing w:before="0" w:after="283"/>
              <w:jc w:val="left"/>
              <w:rPr/>
            </w:pPr>
            <w:r>
              <w:rPr/>
              <w:t>7179</w:t>
            </w:r>
          </w:p>
        </w:tc>
        <w:tc>
          <w:tcPr>
            <w:tcW w:w="1750" w:type="dxa"/>
            <w:tcBorders/>
            <w:vAlign w:val="center"/>
          </w:tcPr>
          <w:p>
            <w:pPr>
              <w:pStyle w:val="TableContents"/>
              <w:bidi w:val="0"/>
              <w:spacing w:before="0" w:after="283"/>
              <w:jc w:val="left"/>
              <w:rPr/>
            </w:pPr>
            <w:r>
              <w:rPr/>
              <w:t>179680.74</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05/04/2026</w:t>
            </w:r>
          </w:p>
        </w:tc>
        <w:tc>
          <w:tcPr>
            <w:tcW w:w="1554" w:type="dxa"/>
            <w:tcBorders/>
            <w:vAlign w:val="center"/>
          </w:tcPr>
          <w:p>
            <w:pPr>
              <w:pStyle w:val="TableContents"/>
              <w:bidi w:val="0"/>
              <w:spacing w:before="0" w:after="283"/>
              <w:jc w:val="left"/>
              <w:rPr/>
            </w:pPr>
            <w:r>
              <w:rPr/>
              <w:t>1206</w:t>
            </w:r>
          </w:p>
        </w:tc>
        <w:tc>
          <w:tcPr>
            <w:tcW w:w="1750" w:type="dxa"/>
            <w:tcBorders/>
            <w:vAlign w:val="center"/>
          </w:tcPr>
          <w:p>
            <w:pPr>
              <w:pStyle w:val="TableContents"/>
              <w:bidi w:val="0"/>
              <w:spacing w:before="0" w:after="283"/>
              <w:jc w:val="left"/>
              <w:rPr/>
            </w:pPr>
            <w:r>
              <w:rPr/>
              <w:t>30150.00</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05/11/2026</w:t>
            </w:r>
          </w:p>
        </w:tc>
        <w:tc>
          <w:tcPr>
            <w:tcW w:w="1554" w:type="dxa"/>
            <w:tcBorders/>
            <w:vAlign w:val="center"/>
          </w:tcPr>
          <w:p>
            <w:pPr>
              <w:pStyle w:val="TableContents"/>
              <w:bidi w:val="0"/>
              <w:spacing w:before="0" w:after="283"/>
              <w:jc w:val="left"/>
              <w:rPr/>
            </w:pPr>
            <w:r>
              <w:rPr/>
              <w:t>3385</w:t>
            </w:r>
          </w:p>
        </w:tc>
        <w:tc>
          <w:tcPr>
            <w:tcW w:w="1750" w:type="dxa"/>
            <w:tcBorders/>
            <w:vAlign w:val="center"/>
          </w:tcPr>
          <w:p>
            <w:pPr>
              <w:pStyle w:val="TableContents"/>
              <w:bidi w:val="0"/>
              <w:spacing w:before="0" w:after="283"/>
              <w:jc w:val="left"/>
              <w:rPr/>
            </w:pPr>
            <w:r>
              <w:rPr/>
              <w:t>76512.85</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4" w:type="dxa"/>
            <w:tcBorders/>
            <w:vAlign w:val="center"/>
          </w:tcPr>
          <w:p>
            <w:pPr>
              <w:pStyle w:val="TableContents"/>
              <w:bidi w:val="0"/>
              <w:spacing w:before="0" w:after="283"/>
              <w:jc w:val="left"/>
              <w:rPr/>
            </w:pPr>
            <w:r>
              <w:rPr/>
              <w:t>17196</w:t>
            </w:r>
          </w:p>
        </w:tc>
        <w:tc>
          <w:tcPr>
            <w:tcW w:w="1750" w:type="dxa"/>
            <w:tcBorders/>
            <w:vAlign w:val="center"/>
          </w:tcPr>
          <w:p>
            <w:pPr>
              <w:pStyle w:val="TableContents"/>
              <w:bidi w:val="0"/>
              <w:spacing w:before="0" w:after="283"/>
              <w:jc w:val="left"/>
              <w:rPr/>
            </w:pPr>
            <w:r>
              <w:rPr/>
              <w:t>433036.65</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07/02/2026</w:t>
            </w:r>
          </w:p>
        </w:tc>
        <w:tc>
          <w:tcPr>
            <w:tcW w:w="1554" w:type="dxa"/>
            <w:tcBorders/>
            <w:vAlign w:val="center"/>
          </w:tcPr>
          <w:p>
            <w:pPr>
              <w:pStyle w:val="TableContents"/>
              <w:bidi w:val="0"/>
              <w:spacing w:before="0" w:after="283"/>
              <w:jc w:val="left"/>
              <w:rPr/>
            </w:pPr>
            <w:r>
              <w:rPr/>
              <w:t>24734</w:t>
            </w:r>
          </w:p>
        </w:tc>
        <w:tc>
          <w:tcPr>
            <w:tcW w:w="1750" w:type="dxa"/>
            <w:tcBorders/>
            <w:vAlign w:val="center"/>
          </w:tcPr>
          <w:p>
            <w:pPr>
              <w:pStyle w:val="TableContents"/>
              <w:bidi w:val="0"/>
              <w:spacing w:before="0" w:after="283"/>
              <w:jc w:val="left"/>
              <w:rPr/>
            </w:pPr>
            <w:r>
              <w:rPr/>
              <w:t>680187.50</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07/07/2026</w:t>
            </w:r>
          </w:p>
        </w:tc>
        <w:tc>
          <w:tcPr>
            <w:tcW w:w="1554" w:type="dxa"/>
            <w:tcBorders/>
            <w:vAlign w:val="center"/>
          </w:tcPr>
          <w:p>
            <w:pPr>
              <w:pStyle w:val="TableContents"/>
              <w:bidi w:val="0"/>
              <w:spacing w:before="0" w:after="283"/>
              <w:jc w:val="left"/>
              <w:rPr/>
            </w:pPr>
            <w:r>
              <w:rPr/>
              <w:t>600</w:t>
            </w:r>
          </w:p>
        </w:tc>
        <w:tc>
          <w:tcPr>
            <w:tcW w:w="1750" w:type="dxa"/>
            <w:tcBorders/>
            <w:vAlign w:val="center"/>
          </w:tcPr>
          <w:p>
            <w:pPr>
              <w:pStyle w:val="TableContents"/>
              <w:bidi w:val="0"/>
              <w:spacing w:before="0" w:after="283"/>
              <w:jc w:val="left"/>
              <w:rPr/>
            </w:pPr>
            <w:r>
              <w:rPr/>
              <w:t>16539.00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07/09/2026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Gary Redman, as a duly authorized representative of Fidelity Brokerage Services LLC, as attorney-in-fact for David Mountcastle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724</Words>
  <Characters>3767</Characters>
  <CharactersWithSpaces>4411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